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Relationship Id="rId2" Type="http://schemas.openxmlformats.org/officeDocument/2006/relationships/extended-properties" Target="docProps/app.xml"></Relationship><Relationship Id="rId3" Type="http://schemas.openxmlformats.org/officeDocument/2006/relationships/officeDocument" Target="word/document.xml"></Relationship></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http://schemas.openxmlformats.org/wordprocessingml/2006/main" xmlns:wpg="http://schemas.microsoft.com/office/word/2010/wordprocessingGroup" xmlns:wne="http://schemas.microsoft.com/office/word/2006/wordml" xmlns:wps="http://schemas.microsoft.com/office/word/2010/wordprocessingShape" xmlns:wpc="http://schemas.microsoft.com/office/word/2010/wordprocessingCanvas" xmlns:mc="http://schemas.openxmlformats.org/markup-compatibility/2006" xmlns:w14="http://schemas.microsoft.com/office/word/2010/wordml" xmlns:wpi="http://schemas.microsoft.com/office/word/2010/wordprocessingInk">
  <w:body>
    <w:p>
      <w:pPr>
        <w:numPr>
          <w:ilvl w:val="0"/>
          <w:numId w:val="0"/>
        </w:numPr>
        <w:jc w:val="both"/>
        <w:spacing w:lineRule="auto" w:line="240" w:before="0" w:after="0"/>
        <w:ind w:right="0" w:firstLine="0"/>
        <w:tabs>
          <w:tab w:val="left" w:pos="2835"/>
        </w:tabs>
        <w:rPr>
          <w:b w:val="1"/>
          <w:color w:val="auto"/>
          <w:position w:val="0"/>
          <w:sz w:val="30"/>
          <w:szCs w:val="30"/>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 </w:t>
      </w:r>
      <w:r>
        <w:rPr>
          <w:b w:val="1"/>
          <w:color w:val="auto"/>
          <w:position w:val="0"/>
          <w:sz w:val="30"/>
          <w:szCs w:val="30"/>
          <w:rFonts w:ascii="Calibri" w:eastAsia="宋体" w:hAnsi="宋体" w:hint="default"/>
        </w:rPr>
        <w:t xml:space="preserve">浅谈-- 新生代蓝领员工的管理 ，体系化和灵活性并存时代已经到来</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  </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     随着AI 技术的方兴未艾， 作为深圳的一家AI 物流机器人的研发调试工厂的领跑者</w:t>
      </w: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  公司的规模也在不断的扩大， 处于快速发展之中， 一线蓝领数量也不在不断的节节攀升，</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针对新生代蓝领员工的管理， 企业所面临的挑战和压力与日俱增 ，包括蓝领员工的招聘和吸引、</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新蓝领员工的技能培养与保留等 。 </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                  </w:t>
      </w:r>
      <w:r>
        <w:rPr>
          <w:b w:val="1"/>
          <w:color w:val="auto"/>
          <w:position w:val="0"/>
          <w:sz w:val="21"/>
          <w:szCs w:val="21"/>
          <w:rFonts w:ascii="Calibri" w:eastAsia="宋体" w:hAnsi="宋体" w:hint="default"/>
        </w:rPr>
        <w:t>新生代蓝领员工的招募</w:t>
      </w: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面临这些压力和挑战， 公司也在不断地改进蓝领员工管理的方法。 首先就招人而言， </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color w:val="auto"/>
          <w:position w:val="0"/>
          <w:sz w:val="21"/>
          <w:szCs w:val="21"/>
          <w:rFonts w:ascii="Calibri" w:eastAsia="宋体" w:hAnsi="宋体" w:hint="default"/>
        </w:rPr>
        <w:t xml:space="preserve">企业会从多个角度来吸引人才 。 </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 xml:space="preserve">鼓励内部推荐 </w:t>
      </w: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一方面， 针对企业招聘公众号发布信息， 企业鼓励内部员工转发， 员工的转发次数会与相应的</w:t>
      </w:r>
      <w:r>
        <w:rPr>
          <w:b w:val="0"/>
          <w:color w:val="auto"/>
          <w:position w:val="0"/>
          <w:sz w:val="21"/>
          <w:szCs w:val="21"/>
          <w:rFonts w:ascii="Calibri" w:eastAsia="宋体" w:hAnsi="宋体" w:hint="default"/>
        </w:rPr>
        <w:t xml:space="preserve">积分对应， 凭借积分员工可以领取相应的礼品；另一方面， 鼓励员工线下推荐和介绍， 被推荐</w:t>
      </w:r>
      <w:r>
        <w:rPr>
          <w:b w:val="0"/>
          <w:color w:val="auto"/>
          <w:position w:val="0"/>
          <w:sz w:val="21"/>
          <w:szCs w:val="21"/>
          <w:rFonts w:ascii="Calibri" w:eastAsia="宋体" w:hAnsi="宋体" w:hint="default"/>
        </w:rPr>
        <w:t xml:space="preserve">的员工通过试用期之后，推荐者将取得相应的奖金 （折合在工资内一起发放）就深圳这家企业而</w:t>
      </w:r>
      <w:r>
        <w:rPr>
          <w:b w:val="0"/>
          <w:color w:val="auto"/>
          <w:position w:val="0"/>
          <w:sz w:val="21"/>
          <w:szCs w:val="21"/>
          <w:rFonts w:ascii="Calibri" w:eastAsia="宋体" w:hAnsi="宋体" w:hint="default"/>
        </w:rPr>
        <w:t xml:space="preserve">言， 内部员工推荐的候选人稳定性更加强。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 xml:space="preserve">校企合作 </w:t>
      </w: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公司会定向与一些职业技术学院合作，开发AI 机器人班， 在早期</w:t>
      </w:r>
      <w:r>
        <w:rPr>
          <w:color w:val="auto"/>
          <w:position w:val="0"/>
          <w:sz w:val="21"/>
          <w:szCs w:val="21"/>
          <w:rFonts w:ascii="Calibri" w:eastAsia="宋体" w:hAnsi="宋体" w:hint="default"/>
        </w:rPr>
        <w:t xml:space="preserve">与学生建立联系和亲密度， 毕</w:t>
      </w:r>
      <w:r>
        <w:rPr>
          <w:color w:val="auto"/>
          <w:position w:val="0"/>
          <w:sz w:val="21"/>
          <w:szCs w:val="21"/>
          <w:rFonts w:ascii="Calibri" w:eastAsia="宋体" w:hAnsi="宋体" w:hint="default"/>
        </w:rPr>
        <w:t>业后直接进入企业。</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广告宣传</w:t>
      </w:r>
    </w:p>
    <w:p>
      <w:pPr>
        <w:numPr>
          <w:ilvl w:val="0"/>
          <w:numId w:val="0"/>
        </w:numPr>
        <w:jc w:val="both"/>
        <w:spacing w:lineRule="auto" w:line="240" w:before="0" w:after="0"/>
        <w:ind w:right="0" w:firstLine="0"/>
        <w:tabs>
          <w:tab w:val="left" w:pos="2835"/>
        </w:tabs>
        <w:rPr>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为了进一步增强在社会上的影响力和宣传力度， 深圳这家AI 企业在深圳的几个“重要的”地铁广告</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地铁站内投放了广告， 并放置了企业招聘公众号二维码。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员工福利</w:t>
      </w: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除了上述招聘渠道外， 薪资福利仍是企业关注的内容， 注意增强福利待遇的吸引力，而且为了</w:t>
      </w:r>
      <w:r>
        <w:rPr>
          <w:b w:val="0"/>
          <w:color w:val="auto"/>
          <w:position w:val="0"/>
          <w:sz w:val="21"/>
          <w:szCs w:val="21"/>
          <w:rFonts w:ascii="Calibri" w:eastAsia="宋体" w:hAnsi="宋体" w:hint="default"/>
        </w:rPr>
        <w:t xml:space="preserve">留住员工， 企业也为了蓝领员工设置了养老金计划。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center"/>
        <w:spacing w:lineRule="auto" w:line="240" w:before="0" w:after="0"/>
        <w:ind w:right="0" w:firstLine="0"/>
        <w:tabs>
          <w:tab w:val="left" w:pos="2835"/>
        </w:tabs>
        <w:rPr>
          <w:b w:val="1"/>
          <w:color w:val="auto"/>
          <w:position w:val="0"/>
          <w:sz w:val="24"/>
          <w:szCs w:val="24"/>
          <w:rFonts w:ascii="Calibri" w:eastAsia="宋体" w:hAnsi="宋体" w:hint="default"/>
        </w:rPr>
        <w:wordWrap w:val="off"/>
        <w:autoSpaceDE w:val="1"/>
        <w:autoSpaceDN w:val="1"/>
      </w:pPr>
      <w:r>
        <w:rPr>
          <w:b w:val="1"/>
          <w:color w:val="auto"/>
          <w:position w:val="0"/>
          <w:sz w:val="24"/>
          <w:szCs w:val="24"/>
          <w:rFonts w:ascii="Calibri" w:eastAsia="宋体" w:hAnsi="宋体" w:hint="default"/>
        </w:rPr>
        <w:t xml:space="preserve">经验传递过程标准化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新员工入职后，其职业规划和发展， 以及岗位胜任力的提升是影响其留用和企业生产工作的重要</w:t>
      </w:r>
      <w:r>
        <w:rPr>
          <w:b w:val="0"/>
          <w:color w:val="auto"/>
          <w:position w:val="0"/>
          <w:sz w:val="21"/>
          <w:szCs w:val="21"/>
          <w:rFonts w:ascii="Calibri" w:eastAsia="宋体" w:hAnsi="宋体" w:hint="default"/>
        </w:rPr>
        <w:t xml:space="preserve">因素。 如何让新员工迅速成长与投入工作， 企业通常的做法是通过“师带徒” 和“做中学”相结合的</w:t>
      </w:r>
      <w:r>
        <w:rPr>
          <w:b w:val="0"/>
          <w:color w:val="auto"/>
          <w:position w:val="0"/>
          <w:sz w:val="21"/>
          <w:szCs w:val="21"/>
          <w:rFonts w:ascii="Calibri" w:eastAsia="宋体" w:hAnsi="宋体" w:hint="default"/>
        </w:rPr>
        <w:t xml:space="preserve">方式让给予员工试错的机会。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以及</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但是公司发现：由于带教方式、带教的流程、带教的语言不同 ， 不同师傅带教的结果（新员工</w:t>
      </w:r>
      <w:r>
        <w:rPr>
          <w:b w:val="0"/>
          <w:color w:val="auto"/>
          <w:position w:val="0"/>
          <w:sz w:val="21"/>
          <w:szCs w:val="21"/>
          <w:rFonts w:ascii="Calibri" w:eastAsia="宋体" w:hAnsi="宋体" w:hint="default"/>
        </w:rPr>
        <w:t xml:space="preserve">的表现和成熟度）会有所不同， 试错成本也会有所不同。 因此针对新员工的培养， 企业开展了</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“ON-JOB Training " 项目， 通过该项目教会师傅如何标准化的培养和带领新员工， 即将新员工培</w:t>
      </w:r>
      <w:r>
        <w:rPr>
          <w:b w:val="0"/>
          <w:color w:val="auto"/>
          <w:position w:val="0"/>
          <w:sz w:val="21"/>
          <w:szCs w:val="21"/>
          <w:rFonts w:ascii="Calibri" w:eastAsia="宋体" w:hAnsi="宋体" w:hint="default"/>
        </w:rPr>
        <w:t xml:space="preserve">训标准化。 通过标准化， 一方面， 避免新员工在实习期因犯错误导致损失 ；另一个方面， 将</w:t>
      </w:r>
      <w:r>
        <w:rPr>
          <w:b w:val="0"/>
          <w:color w:val="auto"/>
          <w:position w:val="0"/>
          <w:sz w:val="21"/>
          <w:szCs w:val="21"/>
          <w:rFonts w:ascii="Calibri" w:eastAsia="宋体" w:hAnsi="宋体" w:hint="default"/>
        </w:rPr>
        <w:t xml:space="preserve">老师傅的丰富的经验萃取成为企业的知识成果，并进行传递 （在公司看来， 离职的交接工作不</w:t>
      </w:r>
      <w:r>
        <w:rPr>
          <w:b w:val="0"/>
          <w:color w:val="auto"/>
          <w:position w:val="0"/>
          <w:sz w:val="21"/>
          <w:szCs w:val="21"/>
          <w:rFonts w:ascii="Calibri" w:eastAsia="宋体" w:hAnsi="宋体" w:hint="default"/>
        </w:rPr>
        <w:t xml:space="preserve">能保证经验全部被传递， 企业通过标准化的方式一定程度上保证了老员工的丰富经验不随其的离</w:t>
      </w:r>
      <w:r>
        <w:rPr>
          <w:b w:val="0"/>
          <w:color w:val="auto"/>
          <w:position w:val="0"/>
          <w:sz w:val="21"/>
          <w:szCs w:val="21"/>
          <w:rFonts w:ascii="Calibri" w:eastAsia="宋体" w:hAnsi="宋体" w:hint="default"/>
        </w:rPr>
        <w:t>职而丢失）。</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就经验传递标准化的过程而言， 企业借鉴业界成熟的理论，然后开发合适的理论方案。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形成理论之后， 就”如何萃取经验“而言， 企业会对相关人员进行培训 ，以让其完成经验萃取</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每一个岗位至少由一位经验丰富的员工来完成—在工作岗位上一边工作一边记录每步的工作内容。</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形成作业分解表。 作业分解表主要包含以下几部分的内容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主要步骤  ：作业所包含的主要步骤以及顺序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要点 ：   每步操作所必须遵守的关键要点， 其将影响产品的生产效率或质量风险</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理由 ：   各项操作需要遵守和进行的背后的原因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总体而言 ： 经验萃取过程所遵从的逻辑为 ”HOW“ 和”WHY “ 。而且，需要注意是</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经验萃取的过程不是一次性的。 首先，萃取结束后，员工会运用所形成的作业分解表对员工进行</w:t>
      </w:r>
      <w:r>
        <w:rPr>
          <w:b w:val="0"/>
          <w:color w:val="auto"/>
          <w:position w:val="0"/>
          <w:sz w:val="21"/>
          <w:szCs w:val="21"/>
          <w:rFonts w:ascii="Calibri" w:eastAsia="宋体" w:hAnsi="宋体" w:hint="default"/>
        </w:rPr>
        <w:t xml:space="preserve">培训 ，在培训过程中对其中的要点和语言进行完善；然后， 技术工程师和质量工程师会分别站</w:t>
      </w:r>
      <w:r>
        <w:rPr>
          <w:b w:val="0"/>
          <w:color w:val="auto"/>
          <w:position w:val="0"/>
          <w:sz w:val="21"/>
          <w:szCs w:val="21"/>
          <w:rFonts w:ascii="Calibri" w:eastAsia="宋体" w:hAnsi="宋体" w:hint="default"/>
        </w:rPr>
        <w:t xml:space="preserve">在技术和质量的角度是再进行确认是否有缺失内容；最后由生产经理批准形成正式的文件。 简而</w:t>
      </w:r>
      <w:r>
        <w:rPr>
          <w:b w:val="0"/>
          <w:color w:val="auto"/>
          <w:position w:val="0"/>
          <w:sz w:val="21"/>
          <w:szCs w:val="21"/>
          <w:rFonts w:ascii="Calibri" w:eastAsia="宋体" w:hAnsi="宋体" w:hint="default"/>
        </w:rPr>
        <w:t xml:space="preserve">言之， 经验萃取和最终文件的形成不是一朝一夕能够完成的， 大概需要一个月的时间。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w:t>
      </w:r>
    </w:p>
    <w:p>
      <w:pPr>
        <w:numPr>
          <w:ilvl w:val="0"/>
          <w:numId w:val="0"/>
        </w:numPr>
        <w:jc w:val="distribute"/>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而且，经验萃取完成形成正式文件后， 也并非一成不变，会不断进行优化， 优化源于员工， 优</w:t>
      </w:r>
      <w:r>
        <w:rPr>
          <w:b w:val="0"/>
          <w:color w:val="auto"/>
          <w:position w:val="0"/>
          <w:sz w:val="21"/>
          <w:szCs w:val="21"/>
          <w:rFonts w:ascii="Calibri" w:eastAsia="宋体" w:hAnsi="宋体" w:hint="default"/>
        </w:rPr>
        <w:t xml:space="preserve">化并非通过集中性的讨论或会议进行。 而是在实践中---在新员工培训过程中，带教人员会发现遗漏</w:t>
      </w:r>
    </w:p>
    <w:p>
      <w:pPr>
        <w:numPr>
          <w:ilvl w:val="0"/>
          <w:numId w:val="0"/>
        </w:numPr>
        <w:jc w:val="center"/>
        <w:spacing w:lineRule="auto" w:line="240" w:before="0" w:after="0"/>
        <w:ind w:right="0" w:firstLine="0"/>
        <w:tabs>
          <w:tab w:val="left" w:pos="2835"/>
        </w:tabs>
        <w:rPr>
          <w:b w:val="1"/>
          <w:color w:val="auto"/>
          <w:position w:val="0"/>
          <w:sz w:val="24"/>
          <w:szCs w:val="24"/>
          <w:rFonts w:ascii="Calibri" w:eastAsia="宋体" w:hAnsi="宋体" w:hint="default"/>
        </w:rPr>
        <w:wordWrap w:val="off"/>
        <w:autoSpaceDE w:val="1"/>
        <w:autoSpaceDN w:val="1"/>
      </w:pPr>
    </w:p>
    <w:p>
      <w:pPr>
        <w:numPr>
          <w:ilvl w:val="0"/>
          <w:numId w:val="0"/>
        </w:numPr>
        <w:jc w:val="center"/>
        <w:spacing w:lineRule="auto" w:line="240" w:before="0" w:after="0"/>
        <w:ind w:right="0" w:firstLine="0"/>
        <w:tabs>
          <w:tab w:val="left" w:pos="2835"/>
        </w:tabs>
        <w:rPr>
          <w:b w:val="1"/>
          <w:color w:val="auto"/>
          <w:position w:val="0"/>
          <w:sz w:val="24"/>
          <w:szCs w:val="24"/>
          <w:rFonts w:ascii="Calibri" w:eastAsia="宋体" w:hAnsi="宋体" w:hint="default"/>
        </w:rPr>
        <w:wordWrap w:val="off"/>
        <w:autoSpaceDE w:val="1"/>
        <w:autoSpaceDN w:val="1"/>
      </w:pPr>
      <w:r>
        <w:rPr>
          <w:b w:val="1"/>
          <w:color w:val="auto"/>
          <w:position w:val="0"/>
          <w:sz w:val="24"/>
          <w:szCs w:val="24"/>
          <w:rFonts w:ascii="Calibri" w:eastAsia="宋体" w:hAnsi="宋体" w:hint="default"/>
        </w:rPr>
        <w:t xml:space="preserve">员工职业发展 </w:t>
      </w:r>
    </w:p>
    <w:p>
      <w:pPr>
        <w:numPr>
          <w:ilvl w:val="0"/>
          <w:numId w:val="0"/>
        </w:numPr>
        <w:jc w:val="center"/>
        <w:spacing w:lineRule="auto" w:line="240" w:before="0" w:after="0"/>
        <w:ind w:right="0" w:firstLine="0"/>
        <w:tabs>
          <w:tab w:val="left" w:pos="2835"/>
        </w:tabs>
        <w:rPr>
          <w:b w:val="1"/>
          <w:color w:val="auto"/>
          <w:position w:val="0"/>
          <w:sz w:val="24"/>
          <w:szCs w:val="24"/>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就新员工的职业发展而言， 公司开展” Fostering  for Future " 的项目--主要介绍了蓝领员工的两</w:t>
      </w:r>
      <w:r>
        <w:rPr>
          <w:b w:val="0"/>
          <w:color w:val="auto"/>
          <w:position w:val="0"/>
          <w:sz w:val="21"/>
          <w:szCs w:val="21"/>
          <w:rFonts w:ascii="Calibri" w:eastAsia="宋体" w:hAnsi="宋体" w:hint="default"/>
        </w:rPr>
        <w:t xml:space="preserve">条发展路径， 一是管理通道， 而是专业技术通道。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 xml:space="preserve"> 管理通道</w:t>
      </w: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企业每年会进行两次人才评估， 每年会招收一些初级管理人员（等同于初级工程师 ， 一般为大</w:t>
      </w:r>
      <w:r>
        <w:rPr>
          <w:b w:val="0"/>
          <w:color w:val="auto"/>
          <w:position w:val="0"/>
          <w:sz w:val="21"/>
          <w:szCs w:val="21"/>
          <w:rFonts w:ascii="Calibri" w:eastAsia="宋体" w:hAnsi="宋体" w:hint="default"/>
        </w:rPr>
        <w:t xml:space="preserve">学本科毕业） ， 就学历而言， 蓝领员工很难在刚刚进入企业就发展成为初级工程师。 针对于此，</w:t>
      </w:r>
      <w:r>
        <w:rPr>
          <w:b w:val="0"/>
          <w:color w:val="auto"/>
          <w:position w:val="0"/>
          <w:sz w:val="21"/>
          <w:szCs w:val="21"/>
          <w:rFonts w:ascii="Calibri" w:eastAsia="宋体" w:hAnsi="宋体" w:hint="default"/>
        </w:rPr>
        <w:t xml:space="preserve"> 公司给了蓝领员工走向管理岗位的机会。 企业会筛选蓝领员工中具有潜质并且与公司价值观相符</w:t>
      </w:r>
      <w:r>
        <w:rPr>
          <w:b w:val="0"/>
          <w:color w:val="auto"/>
          <w:position w:val="0"/>
          <w:sz w:val="21"/>
          <w:szCs w:val="21"/>
          <w:rFonts w:ascii="Calibri" w:eastAsia="宋体" w:hAnsi="宋体" w:hint="default"/>
        </w:rPr>
        <w:t xml:space="preserve">合的员工。当蓝领员工通过了人才面试和评估， 其将被提拔至管理岗位，同时， 企业也会有相应</w:t>
      </w:r>
      <w:r>
        <w:rPr>
          <w:b w:val="0"/>
          <w:color w:val="auto"/>
          <w:position w:val="0"/>
          <w:sz w:val="21"/>
          <w:szCs w:val="21"/>
          <w:rFonts w:ascii="Calibri" w:eastAsia="宋体" w:hAnsi="宋体" w:hint="default"/>
        </w:rPr>
        <w:t xml:space="preserve">的发展项目帮助其进一步成长， 以让其更好地适应岗位。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面试和评估过程主要更具岗位的能力要求， 例如情景领导力、沟通技巧、目标导向、冲突管理</w:t>
      </w:r>
      <w:r>
        <w:rPr>
          <w:b w:val="0"/>
          <w:color w:val="auto"/>
          <w:position w:val="0"/>
          <w:sz w:val="21"/>
          <w:szCs w:val="21"/>
          <w:rFonts w:ascii="Calibri" w:eastAsia="宋体" w:hAnsi="宋体" w:hint="default"/>
        </w:rPr>
        <w:t xml:space="preserve">等8 项能力进行， 面试主要分为四个模块：每项能力由两个不同模块的面试进行考核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二对一面试</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无领导小组讨论：面试过程中，一位面试官对应观察一位候选人，并对其某些能力进行打分。</w:t>
      </w:r>
      <w:r>
        <w:rPr>
          <w:b w:val="0"/>
          <w:color w:val="auto"/>
          <w:position w:val="0"/>
          <w:sz w:val="21"/>
          <w:szCs w:val="21"/>
          <w:rFonts w:ascii="Calibri" w:eastAsia="宋体" w:hAnsi="宋体" w:hint="default"/>
        </w:rPr>
        <w:t xml:space="preserve"> 同时为了保证面试过程的公平性， 面试官通常与面试者来自于不同的工厂。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基于能力测试： 在测试过程中， 其中一个部分为“邮件处理”， 假设候选人为管理人员，其将收</w:t>
      </w:r>
      <w:r>
        <w:rPr>
          <w:b w:val="0"/>
          <w:color w:val="auto"/>
          <w:position w:val="0"/>
          <w:sz w:val="21"/>
          <w:szCs w:val="21"/>
          <w:rFonts w:ascii="Calibri" w:eastAsia="宋体" w:hAnsi="宋体" w:hint="default"/>
        </w:rPr>
        <w:t>到15封设计不同邮件并被要求对邮件处理的顺序进行排序。然后在面试过程中会询问顺序安排的</w:t>
      </w:r>
      <w:r>
        <w:rPr>
          <w:b w:val="0"/>
          <w:color w:val="auto"/>
          <w:position w:val="0"/>
          <w:sz w:val="21"/>
          <w:szCs w:val="21"/>
          <w:rFonts w:ascii="Calibri" w:eastAsia="宋体" w:hAnsi="宋体" w:hint="default"/>
        </w:rPr>
        <w:t xml:space="preserve">逻辑和解决问题的过程和方法，以此评估相关能力。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当蓝领员工提拔至管理岗位，企业会对其进行为期18个月的课程培训，同时， 针对员工的培训</w:t>
      </w:r>
      <w:r>
        <w:rPr>
          <w:b w:val="0"/>
          <w:color w:val="auto"/>
          <w:position w:val="0"/>
          <w:sz w:val="21"/>
          <w:szCs w:val="21"/>
          <w:rFonts w:ascii="Calibri" w:eastAsia="宋体" w:hAnsi="宋体" w:hint="default"/>
        </w:rPr>
        <w:t xml:space="preserve">的管理和关系的处理，不同工厂之间会进行经验分享；同时， 也会进一步发展其知识技能。因为</w:t>
      </w:r>
      <w:r>
        <w:rPr>
          <w:b w:val="0"/>
          <w:color w:val="auto"/>
          <w:position w:val="0"/>
          <w:sz w:val="21"/>
          <w:szCs w:val="21"/>
          <w:rFonts w:ascii="Calibri" w:eastAsia="宋体" w:hAnsi="宋体" w:hint="default"/>
        </w:rPr>
        <w:t xml:space="preserve">过去对于初级管理者而言， 其工作不仅涉及员工管理，也涉及员工培训，及所负责区域的产品质</w:t>
      </w:r>
      <w:r>
        <w:rPr>
          <w:b w:val="0"/>
          <w:color w:val="auto"/>
          <w:position w:val="0"/>
          <w:sz w:val="21"/>
          <w:szCs w:val="21"/>
          <w:rFonts w:ascii="Calibri" w:eastAsia="宋体" w:hAnsi="宋体" w:hint="default"/>
        </w:rPr>
        <w:t xml:space="preserve">量和出工率 。总而言之， 通过“LEARNING BY DONING ”的方式发展其解决问题的技能， 当稳定之</w:t>
      </w:r>
      <w:r>
        <w:rPr>
          <w:b w:val="0"/>
          <w:color w:val="auto"/>
          <w:position w:val="0"/>
          <w:sz w:val="21"/>
          <w:szCs w:val="21"/>
          <w:rFonts w:ascii="Calibri" w:eastAsia="宋体" w:hAnsi="宋体" w:hint="default"/>
        </w:rPr>
        <w:t>后逐渐有机会提升至生产经理、总经理。</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w:t>
      </w:r>
    </w:p>
    <w:p>
      <w:pPr>
        <w:numPr>
          <w:ilvl w:val="0"/>
          <w:numId w:val="0"/>
        </w:numPr>
        <w:jc w:val="center"/>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 xml:space="preserve">专业技术通道 </w:t>
      </w: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当然， 针对面试管理岗位失败的员工， 或是不愿意从事管理岗的蓝领员工， 其可选择专业技术</w:t>
      </w:r>
      <w:r>
        <w:rPr>
          <w:b w:val="0"/>
          <w:color w:val="auto"/>
          <w:position w:val="0"/>
          <w:sz w:val="21"/>
          <w:szCs w:val="21"/>
          <w:rFonts w:ascii="Calibri" w:eastAsia="宋体" w:hAnsi="宋体" w:hint="default"/>
        </w:rPr>
        <w:t xml:space="preserve">发展路径， 在公司，企业尤为强调“工匠精神” ，也注重保护师傅的经验传递。 针对这些员工， </w:t>
      </w:r>
      <w:r>
        <w:rPr>
          <w:b w:val="0"/>
          <w:color w:val="auto"/>
          <w:position w:val="0"/>
          <w:sz w:val="21"/>
          <w:szCs w:val="21"/>
          <w:rFonts w:ascii="Calibri" w:eastAsia="宋体" w:hAnsi="宋体" w:hint="default"/>
        </w:rPr>
        <w:t xml:space="preserve">其可自行报名或由生产经理、部门经理提名相应的职称， 之后企业将给予其相应的培训， 培训通</w:t>
      </w:r>
      <w:r>
        <w:rPr>
          <w:b w:val="0"/>
          <w:color w:val="auto"/>
          <w:position w:val="0"/>
          <w:sz w:val="21"/>
          <w:szCs w:val="21"/>
          <w:rFonts w:ascii="Calibri" w:eastAsia="宋体" w:hAnsi="宋体" w:hint="default"/>
        </w:rPr>
        <w:t xml:space="preserve">过考核之后企业会给予其技师、初级技师或高级技师的职称， 薪资也会相应的增加。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center"/>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 xml:space="preserve">员工关怀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面临新蓝领员工的保留和激励而言， 除了关注员工的职业发展和成长， 公司也关注日常的管理</w:t>
      </w:r>
      <w:r>
        <w:rPr>
          <w:b w:val="0"/>
          <w:color w:val="auto"/>
          <w:position w:val="0"/>
          <w:sz w:val="21"/>
          <w:szCs w:val="21"/>
          <w:rFonts w:ascii="Calibri" w:eastAsia="宋体" w:hAnsi="宋体" w:hint="default"/>
        </w:rPr>
        <w:t xml:space="preserve">对员工的影响， 如企业健康关怀、工作氛围、文化因素、直线管理人员的管理方式等。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 xml:space="preserve">福利与健康关怀 </w:t>
      </w: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健康的就员工福利而言， 公司为蓝领员工设计了养老金计划 （每月定期存入，员工2-3年可</w:t>
      </w:r>
      <w:r>
        <w:rPr>
          <w:b w:val="0"/>
          <w:color w:val="auto"/>
          <w:position w:val="0"/>
          <w:sz w:val="21"/>
          <w:szCs w:val="21"/>
          <w:rFonts w:ascii="Calibri" w:eastAsia="宋体" w:hAnsi="宋体" w:hint="default"/>
        </w:rPr>
        <w:t xml:space="preserve">以取出）。从员工健康的角度出发落实相关员工健康管理措施， 而不仅仅是安全口号—在员工工作</w:t>
      </w:r>
      <w:r>
        <w:rPr>
          <w:b w:val="0"/>
          <w:color w:val="auto"/>
          <w:position w:val="0"/>
          <w:sz w:val="21"/>
          <w:szCs w:val="21"/>
          <w:rFonts w:ascii="Calibri" w:eastAsia="宋体" w:hAnsi="宋体" w:hint="default"/>
        </w:rPr>
        <w:t xml:space="preserve">过程中， 企业会强制员工佩戴相关的保护产品， 以确保员工的健康不受损害。 公司表示：虽然</w:t>
      </w:r>
      <w:r>
        <w:rPr>
          <w:b w:val="0"/>
          <w:color w:val="auto"/>
          <w:position w:val="0"/>
          <w:sz w:val="21"/>
          <w:szCs w:val="21"/>
          <w:rFonts w:ascii="Calibri" w:eastAsia="宋体" w:hAnsi="宋体" w:hint="default"/>
        </w:rPr>
        <w:t xml:space="preserve">员工日常会“抱怨”规矩， 但据企业所了解的员工心声， 员工会因为企业的严格要求感受到企业的</w:t>
      </w:r>
      <w:r>
        <w:rPr>
          <w:b w:val="0"/>
          <w:color w:val="auto"/>
          <w:position w:val="0"/>
          <w:sz w:val="21"/>
          <w:szCs w:val="21"/>
          <w:rFonts w:ascii="Calibri" w:eastAsia="宋体" w:hAnsi="宋体" w:hint="default"/>
        </w:rPr>
        <w:t xml:space="preserve">关怀， 尤其是在其他工厂对比的过程中， 员工会进一步增强员工的敬业度。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 xml:space="preserve">文化氛围 </w:t>
      </w: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在公司， 企业非常强调“尊重” 和“信任” 的文化氛围·，企业希望通过文化来来增强员工</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的敬业度， 而非仅仅是薪资。 尊重和信任在企业随处可见， 例如， 企业主张“层级淡化”，无论</w:t>
      </w:r>
      <w:r>
        <w:rPr>
          <w:b w:val="0"/>
          <w:color w:val="auto"/>
          <w:position w:val="0"/>
          <w:sz w:val="21"/>
          <w:szCs w:val="21"/>
          <w:rFonts w:ascii="Calibri" w:eastAsia="宋体" w:hAnsi="宋体" w:hint="default"/>
        </w:rPr>
        <w:t>是白领还是工厂管理者或是工程师，在工作中，很难与一线蓝领员工相区分；针对企业的部分公</w:t>
      </w:r>
      <w:r>
        <w:rPr>
          <w:b w:val="0"/>
          <w:color w:val="auto"/>
          <w:position w:val="0"/>
          <w:sz w:val="21"/>
          <w:szCs w:val="21"/>
          <w:rFonts w:ascii="Calibri" w:eastAsia="宋体" w:hAnsi="宋体" w:hint="default"/>
        </w:rPr>
        <w:t xml:space="preserve">开课， 例如， “有效沟通 “企业针对白领员工和蓝领员工都开放，并且会设计 “蓝领员工”版本，</w:t>
      </w:r>
      <w:r>
        <w:rPr>
          <w:b w:val="0"/>
          <w:color w:val="auto"/>
          <w:position w:val="0"/>
          <w:sz w:val="21"/>
          <w:szCs w:val="21"/>
          <w:rFonts w:ascii="Calibri" w:eastAsia="宋体" w:hAnsi="宋体" w:hint="default"/>
        </w:rPr>
        <w:t>以促进员工关系和谐。</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一</w:t>
      </w:r>
      <w:r>
        <w:rPr>
          <w:b w:val="1"/>
          <w:color w:val="auto"/>
          <w:position w:val="0"/>
          <w:sz w:val="21"/>
          <w:szCs w:val="21"/>
          <w:rFonts w:ascii="Calibri" w:eastAsia="宋体" w:hAnsi="宋体" w:hint="default"/>
        </w:rPr>
        <w:t>线管理者</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在公司的分析，影响员工离职重要原因并不只是薪资，或是公司知名度，决定权往往在于员工的</w:t>
      </w:r>
      <w:r>
        <w:rPr>
          <w:b w:val="0"/>
          <w:color w:val="auto"/>
          <w:position w:val="0"/>
          <w:sz w:val="21"/>
          <w:szCs w:val="21"/>
          <w:rFonts w:ascii="Calibri" w:eastAsia="宋体" w:hAnsi="宋体" w:hint="default"/>
        </w:rPr>
        <w:t xml:space="preserve">直接上司。 员工对公司政策、管理理念或者福利的了解更多地是来源于其直接上司，简而言之， </w:t>
      </w:r>
      <w:r>
        <w:rPr>
          <w:b w:val="0"/>
          <w:color w:val="auto"/>
          <w:position w:val="0"/>
          <w:sz w:val="21"/>
          <w:szCs w:val="21"/>
          <w:rFonts w:ascii="Calibri" w:eastAsia="宋体" w:hAnsi="宋体" w:hint="default"/>
        </w:rPr>
        <w:t xml:space="preserve">一线管理者的稳定是影响蓝领员工稳定的重要因素。 因此， 针对企业蓝领员工的初级管理者， </w:t>
      </w:r>
      <w:r>
        <w:rPr>
          <w:b w:val="0"/>
          <w:color w:val="auto"/>
          <w:position w:val="0"/>
          <w:sz w:val="21"/>
          <w:szCs w:val="21"/>
          <w:rFonts w:ascii="Calibri" w:eastAsia="宋体" w:hAnsi="宋体" w:hint="default"/>
        </w:rPr>
        <w:t xml:space="preserve">企业会通过一系列培训来提升其沟通技巧。 </w:t>
      </w:r>
    </w:p>
    <w:p>
      <w:pPr>
        <w:numPr>
          <w:ilvl w:val="0"/>
          <w:numId w:val="0"/>
        </w:numPr>
        <w:jc w:val="both"/>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center"/>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w:t>
      </w:r>
      <w:r>
        <w:rPr>
          <w:b w:val="1"/>
          <w:color w:val="auto"/>
          <w:position w:val="0"/>
          <w:sz w:val="21"/>
          <w:szCs w:val="21"/>
          <w:rFonts w:ascii="Calibri" w:eastAsia="宋体" w:hAnsi="宋体" w:hint="default"/>
        </w:rPr>
        <w:t xml:space="preserve">  一线管理人员的培训</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在公司看来， 一线管理人员是影响蓝领员工稳定的因素， 正如上文所述。也正因如此， 企业尤</w:t>
      </w:r>
      <w:r>
        <w:rPr>
          <w:b w:val="0"/>
          <w:color w:val="auto"/>
          <w:position w:val="0"/>
          <w:sz w:val="21"/>
          <w:szCs w:val="21"/>
          <w:rFonts w:ascii="Calibri" w:eastAsia="宋体" w:hAnsi="宋体" w:hint="default"/>
        </w:rPr>
        <w:t xml:space="preserve">为注重一线管理的选拔及管理技巧培训。 企业的初级管理者主要来源于内部晋升， 内部晋升的流</w:t>
      </w:r>
      <w:r>
        <w:rPr>
          <w:b w:val="0"/>
          <w:color w:val="auto"/>
          <w:position w:val="0"/>
          <w:sz w:val="21"/>
          <w:szCs w:val="21"/>
          <w:rFonts w:ascii="Calibri" w:eastAsia="宋体" w:hAnsi="宋体" w:hint="default"/>
        </w:rPr>
        <w:t xml:space="preserve">程正如上文所提及的”管理晋升通道“， 员工会经过严格的 ”ASSESSMENT CENTER` "  。初级管理者</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在被晋升至岗位之后 ， 会接受不同内容模块的培训， 主要如下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sz w:val="20"/>
        </w:rPr>
        <mc:AlternateContent>
          <mc:Choice Requires="wps">
            <w:drawing>
              <wp:inline distT="0" distB="0" distL="0" distR="0">
                <wp:extent cx="5605780" cy="3758565"/>
                <wp:effectExtent l="0" t="0" r="0" b="0"/>
                <wp:docPr id="30" name="图示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a:xfrm>
                          <a:off x="0" y="0"/>
                          <a:ext cx="5606415" cy="3759200"/>
                          <a:chOff x="0" y="0"/>
                          <a:chExt cx="5606415" cy="3759200"/>
                        </a:xfrm>
                        <a:prstGeom prst="rect"/>
                        <a:ln cap="flat"/>
                      </wpg:grpSpPr>
                      <wps:wsp>
                        <wps:cNvPr id="3" name="图示 3"/>
                        <wps:cNvSpPr/>
                        <wps:spPr>
                          <a:xfrm>
                            <a:off x="930275" y="0"/>
                            <a:ext cx="3739515" cy="3758565"/>
                          </a:xfrm>
                          <a:prstGeom prst="ellipse"/>
                          <a:solidFill>
                            <a:schemeClr val="accent1"/>
                          </a:solidFill>
                          <a:ln cap="flat" cmpd="sng">
                            <a:solidFill>
                              <a:schemeClr val="accent1"/>
                            </a:solidFill>
                            <a:prstDash val="solid"/>
                          </a:ln>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0" tIns="0" rIns="0" bIns="0" numCol="1" spcCol="0" rtlCol="0" fromWordArt="0" anchor="t" anchorCtr="0" forceAA="0" compatLnSpc="0">
                          <a:prstTxWarp prst="textNoShape"/>
                        </wps:bodyPr>
                      </wps:wsp>
                      <wps:wsp>
                        <wps:cNvPr id="3" name="图示 3"/>
                        <wps:cNvSpPr/>
                        <wps:spPr>
                          <a:xfrm>
                            <a:off x="1304925" y="753110"/>
                            <a:ext cx="2990215" cy="3006725"/>
                          </a:xfrm>
                          <a:prstGeom prst="ellipse"/>
                          <a:solidFill>
                            <a:prstClr val="red"/>
                          </a:solidFill>
                          <a:ln cap="flat" cmpd="sng">
                            <a:solidFill>
                              <a:schemeClr val="lt1"/>
                            </a:solidFill>
                            <a:prstDash val="solid"/>
                          </a:ln>
                        </wps:spPr>
                        <wps:style>
                          <a:lnRef idx="2">
                            <a:schemeClr val="lt1"/>
                          </a:lnRef>
                          <a:fillRef idx="1">
                            <a:schemeClr val="accent1"/>
                          </a:fillRef>
                          <a:effectRef idx="0"/>
                          <a:fontRef idx="minor">
                            <a:schemeClr val="lt1"/>
                          </a:fontRef>
                        </wps:style>
                        <wps:bodyPr rot="0" spcFirstLastPara="0" vertOverflow="overflow" horzOverflow="overflow" vert="horz" wrap="square" lIns="0" tIns="0" rIns="0" bIns="0" numCol="1" spcCol="0" rtlCol="0" fromWordArt="0" anchor="t" anchorCtr="0" forceAA="0" compatLnSpc="0">
                          <a:prstTxWarp prst="textNoShape"/>
                        </wps:bodyPr>
                      </wps:wsp>
                      <wps:wsp>
                        <wps:cNvPr id="3" name="图示 3"/>
                        <wps:cNvSpPr/>
                        <wps:spPr>
                          <a:xfrm>
                            <a:off x="1678305" y="1503680"/>
                            <a:ext cx="2243455" cy="2256155"/>
                          </a:xfrm>
                          <a:prstGeom prst="ellipse"/>
                          <a:solidFill>
                            <a:srgbClr val="843C0B"/>
                          </a:solidFill>
                          <a:ln cap="flat" cmpd="sng">
                            <a:solidFill>
                              <a:schemeClr val="lt1"/>
                            </a:solidFill>
                            <a:prstDash val="solid"/>
                          </a:ln>
                        </wps:spPr>
                        <wps:style>
                          <a:lnRef idx="2">
                            <a:schemeClr val="lt1"/>
                          </a:lnRef>
                          <a:fillRef idx="1">
                            <a:schemeClr val="accent1"/>
                          </a:fillRef>
                          <a:effectRef idx="0"/>
                          <a:fontRef idx="minor">
                            <a:schemeClr val="lt1"/>
                          </a:fontRef>
                        </wps:style>
                        <wps:bodyPr rot="0" spcFirstLastPara="0" vertOverflow="overflow" horzOverflow="overflow" vert="horz" wrap="square" lIns="0" tIns="0" rIns="0" bIns="0" numCol="1" spcCol="0" rtlCol="0" fromWordArt="0" anchor="t" anchorCtr="0" forceAA="0" compatLnSpc="0">
                          <a:prstTxWarp prst="textNoShape"/>
                        </wps:bodyPr>
                      </wps:wsp>
                      <wps:wsp>
                        <wps:cNvPr id="3" name="图示 3"/>
                        <wps:cNvSpPr/>
                        <wps:spPr>
                          <a:xfrm>
                            <a:off x="2051050" y="2254885"/>
                            <a:ext cx="1497965" cy="1504315"/>
                          </a:xfrm>
                          <a:prstGeom prst="ellipse"/>
                          <a:solidFill>
                            <a:srgbClr val="770055"/>
                          </a:solidFill>
                          <a:ln cap="flat" cmpd="sng">
                            <a:solidFill>
                              <a:schemeClr val="lt1"/>
                            </a:solidFill>
                            <a:prstDash val="solid"/>
                          </a:ln>
                        </wps:spPr>
                        <wps:style>
                          <a:lnRef idx="2">
                            <a:schemeClr val="lt1"/>
                          </a:lnRef>
                          <a:fillRef idx="1">
                            <a:schemeClr val="accent1"/>
                          </a:fillRef>
                          <a:effectRef idx="0"/>
                          <a:fontRef idx="minor">
                            <a:schemeClr val="lt1"/>
                          </a:fontRef>
                        </wps:style>
                        <wps:bodyPr rot="0" spcFirstLastPara="0" vertOverflow="overflow" horzOverflow="overflow" vert="horz" wrap="square" lIns="0" tIns="0" rIns="0" bIns="0" numCol="1" spcCol="0" rtlCol="0" fromWordArt="0" anchor="t" anchorCtr="0" forceAA="0" compatLnSpc="0">
                          <a:prstTxWarp prst="textNoShape"/>
                        </wps:bodyPr>
                      </wps:wsp>
                      <wps:wsp>
                        <wps:cNvPr id="3" name="图示 3"/>
                        <wps:cNvSpPr txBox="1"/>
                        <wps:spPr>
                          <a:xfrm>
                            <a:off x="2277110" y="186055"/>
                            <a:ext cx="1046480" cy="567055"/>
                          </a:xfrm>
                          <a:prstGeom prst="rect"/>
                          <a:noFill/>
                          <a:ln cap="flat">
                            <a:noFill/>
                          </a:ln>
                        </wps:spPr>
                        <wps:style>
                          <a:lnRef idx="2">
                            <a:schemeClr val="lt1"/>
                          </a:lnRef>
                          <a:fillRef idx="1">
                            <a:schemeClr val="accent1"/>
                          </a:fillRef>
                          <a:effectRef idx="0"/>
                          <a:fontRef idx="minor">
                            <a:schemeClr val="lt1"/>
                          </a:fontRef>
                        </wps:style>
                        <wps:txbx style="" inset="5pt,10pt,5pt,8pt">
                          <w:txbxContent>
                            <w:p>
                              <w:pPr>
                                <w:bidi w:val="0"/>
                                <w:numPr>
                                  <w:ilvl w:val="0"/>
                                  <w:numId w:val="0"/>
                                </w:numPr>
                                <w:jc w:val="center"/>
                                <w:spacing w:lineRule="auto" w:line="240" w:before="0" w:after="0"/>
                                <w:ind w:right="0" w:left="1" w:hanging="1"/>
                                <w:rPr>
                                  <w:color w:val="auto"/>
                                  <w:position w:val="0"/>
                                  <w:sz w:val="28"/>
                                  <w:szCs w:val="28"/>
                                  <w:rFonts w:ascii="宋体" w:eastAsia="宋体" w:hAnsi="宋体" w:hint="default"/>
                                </w:rPr>
                                <w:wordWrap w:val="off"/>
                                <w:autoSpaceDE w:val="1"/>
                                <w:autoSpaceDN w:val="1"/>
                              </w:pPr>
                              <w:r>
                                <w:rPr>
                                  <w:color w:val="auto"/>
                                  <w:position w:val="0"/>
                                  <w:sz w:val="28"/>
                                  <w:szCs w:val="28"/>
                                  <w:rFonts w:ascii="宋体" w:eastAsia="宋体" w:hAnsi="宋体" w:hint="default"/>
                                </w:rPr>
                                <w:t>日常管理</w:t>
                              </w:r>
                            </w:p>
                          </w:txbxContent>
                        </wps:txbx>
                        <wps:bodyPr rot="0" spcFirstLastPara="0" vertOverflow="overflow" horzOverflow="overflow" vert="horz" wrap="square" lIns="69215" tIns="128270" rIns="69215" bIns="99060" numCol="1" spcCol="0" rtlCol="0" fromWordArt="0" anchor="ctr" anchorCtr="0" forceAA="0" compatLnSpc="0" upright="1">
                          <a:prstTxWarp prst="textNoShape"/>
                        </wps:bodyPr>
                      </wps:wsp>
                      <wps:wsp>
                        <wps:cNvPr id="3" name="图示 3"/>
                        <wps:cNvSpPr txBox="1"/>
                        <wps:spPr>
                          <a:xfrm>
                            <a:off x="2277110" y="931545"/>
                            <a:ext cx="1046480" cy="541655"/>
                          </a:xfrm>
                          <a:prstGeom prst="rect"/>
                          <a:noFill/>
                          <a:ln cap="flat">
                            <a:noFill/>
                          </a:ln>
                        </wps:spPr>
                        <wps:style>
                          <a:lnRef idx="2">
                            <a:schemeClr val="lt1"/>
                          </a:lnRef>
                          <a:fillRef idx="1">
                            <a:schemeClr val="accent1"/>
                          </a:fillRef>
                          <a:effectRef idx="0"/>
                          <a:fontRef idx="minor">
                            <a:schemeClr val="lt1"/>
                          </a:fontRef>
                        </wps:style>
                        <wps:txbx style="" inset="5pt,10pt,5pt,8pt">
                          <w:txbxContent>
                            <w:p>
                              <w:pPr>
                                <w:bidi w:val="0"/>
                                <w:numPr>
                                  <w:ilvl w:val="0"/>
                                  <w:numId w:val="0"/>
                                </w:numPr>
                                <w:jc w:val="center"/>
                                <w:spacing w:lineRule="auto" w:line="240" w:before="0" w:after="0"/>
                                <w:ind w:right="0" w:left="1" w:hanging="1"/>
                                <w:rPr>
                                  <w:color w:val="auto"/>
                                  <w:position w:val="0"/>
                                  <w:sz w:val="26"/>
                                  <w:szCs w:val="26"/>
                                  <w:rFonts w:ascii="宋体" w:eastAsia="宋体" w:hAnsi="宋体" w:hint="default"/>
                                </w:rPr>
                                <w:wordWrap w:val="off"/>
                                <w:autoSpaceDE w:val="1"/>
                                <w:autoSpaceDN w:val="1"/>
                              </w:pPr>
                              <w:r>
                                <w:rPr>
                                  <w:color w:val="auto"/>
                                  <w:position w:val="0"/>
                                  <w:sz w:val="26"/>
                                  <w:szCs w:val="26"/>
                                  <w:rFonts w:ascii="宋体" w:eastAsia="宋体" w:hAnsi="宋体" w:hint="default"/>
                                </w:rPr>
                                <w:t>情景领导力</w:t>
                              </w:r>
                            </w:p>
                          </w:txbxContent>
                        </wps:txbx>
                        <wps:bodyPr rot="0" spcFirstLastPara="0" vertOverflow="overflow" horzOverflow="overflow" vert="horz" wrap="square" lIns="69215" tIns="128270" rIns="69215" bIns="99060" numCol="1" spcCol="0" rtlCol="0" fromWordArt="0" anchor="ctr" anchorCtr="0" forceAA="0" compatLnSpc="0" upright="1">
                          <a:prstTxWarp prst="textNoShape"/>
                        </wps:bodyPr>
                      </wps:wsp>
                      <wps:wsp>
                        <wps:cNvPr id="3" name="图示 3"/>
                        <wps:cNvSpPr txBox="1"/>
                        <wps:spPr>
                          <a:xfrm>
                            <a:off x="2246630" y="1671955"/>
                            <a:ext cx="1282065" cy="508635"/>
                          </a:xfrm>
                          <a:prstGeom prst="rect"/>
                          <a:noFill/>
                          <a:ln cap="flat">
                            <a:noFill/>
                          </a:ln>
                        </wps:spPr>
                        <wps:style>
                          <a:lnRef idx="2">
                            <a:schemeClr val="lt1"/>
                          </a:lnRef>
                          <a:fillRef idx="1">
                            <a:schemeClr val="accent1"/>
                          </a:fillRef>
                          <a:effectRef idx="0"/>
                          <a:fontRef idx="minor">
                            <a:schemeClr val="lt1"/>
                          </a:fontRef>
                        </wps:style>
                        <wps:txbx style="" inset="5pt,10pt,5pt,8pt">
                          <w:txbxContent>
                            <w:p>
                              <w:pPr>
                                <w:bidi w:val="0"/>
                                <w:numPr>
                                  <w:ilvl w:val="0"/>
                                  <w:numId w:val="0"/>
                                </w:numPr>
                                <w:jc w:val="center"/>
                                <w:spacing w:lineRule="auto" w:line="240" w:before="0" w:after="0"/>
                                <w:ind w:right="0" w:left="1" w:hanging="1"/>
                                <w:rPr>
                                  <w:color w:val="auto"/>
                                  <w:position w:val="0"/>
                                  <w:sz w:val="24"/>
                                  <w:szCs w:val="24"/>
                                  <w:rFonts w:ascii="宋体" w:eastAsia="宋体" w:hAnsi="宋体" w:hint="default"/>
                                </w:rPr>
                                <w:wordWrap w:val="off"/>
                                <w:autoSpaceDE w:val="1"/>
                                <w:autoSpaceDN w:val="1"/>
                              </w:pPr>
                              <w:r>
                                <w:rPr>
                                  <w:color w:val="auto"/>
                                  <w:position w:val="0"/>
                                  <w:sz w:val="24"/>
                                  <w:szCs w:val="24"/>
                                  <w:rFonts w:ascii="宋体" w:eastAsia="宋体" w:hAnsi="宋体" w:hint="default"/>
                                </w:rPr>
                                <w:t>认同感与荣誉感</w:t>
                              </w:r>
                            </w:p>
                          </w:txbxContent>
                        </wps:txbx>
                        <wps:bodyPr rot="0" spcFirstLastPara="0" vertOverflow="overflow" horzOverflow="overflow" vert="horz" wrap="square" lIns="69215" tIns="128270" rIns="69215" bIns="99060" numCol="1" spcCol="0" rtlCol="0" fromWordArt="0" anchor="ctr" anchorCtr="0" forceAA="0" compatLnSpc="0" upright="1">
                          <a:prstTxWarp prst="textNoShape"/>
                        </wps:bodyPr>
                      </wps:wsp>
                      <wps:wsp>
                        <wps:cNvPr id="3" name="图示 3"/>
                        <wps:cNvSpPr txBox="1"/>
                        <wps:spPr>
                          <a:xfrm>
                            <a:off x="2272030" y="2629535"/>
                            <a:ext cx="1056005" cy="753745"/>
                          </a:xfrm>
                          <a:prstGeom prst="rect"/>
                          <a:noFill/>
                          <a:ln cap="flat">
                            <a:noFill/>
                          </a:ln>
                        </wps:spPr>
                        <wps:style>
                          <a:lnRef idx="2">
                            <a:schemeClr val="lt1"/>
                          </a:lnRef>
                          <a:fillRef idx="1">
                            <a:schemeClr val="accent1"/>
                          </a:fillRef>
                          <a:effectRef idx="0"/>
                          <a:fontRef idx="minor">
                            <a:schemeClr val="lt1"/>
                          </a:fontRef>
                        </wps:style>
                        <wps:txbx style="" inset="5pt,10pt,5pt,8pt">
                          <w:txbxContent>
                            <w:p>
                              <w:pPr>
                                <w:bidi w:val="0"/>
                                <w:numPr>
                                  <w:ilvl w:val="0"/>
                                  <w:numId w:val="0"/>
                                </w:numPr>
                                <w:jc w:val="center"/>
                                <w:spacing w:lineRule="auto" w:line="240" w:before="0" w:after="0"/>
                                <w:ind w:right="0" w:left="1" w:hanging="1"/>
                                <w:rPr>
                                  <w:color w:val="auto"/>
                                  <w:position w:val="0"/>
                                  <w:sz w:val="28"/>
                                  <w:szCs w:val="28"/>
                                  <w:rFonts w:ascii="宋体" w:eastAsia="宋体" w:hAnsi="宋体" w:hint="default"/>
                                </w:rPr>
                                <w:wordWrap w:val="off"/>
                                <w:autoSpaceDE w:val="1"/>
                                <w:autoSpaceDN w:val="1"/>
                              </w:pPr>
                              <w:r>
                                <w:rPr>
                                  <w:color w:val="auto"/>
                                  <w:position w:val="0"/>
                                  <w:sz w:val="28"/>
                                  <w:szCs w:val="28"/>
                                  <w:rFonts w:ascii="宋体" w:eastAsia="宋体" w:hAnsi="宋体" w:hint="default"/>
                                </w:rPr>
                                <w:t>核心价值观</w:t>
                              </w:r>
                            </w:p>
                          </w:txbxContent>
                        </wps:txbx>
                        <wps:bodyPr rot="0" spcFirstLastPara="0" vertOverflow="overflow" horzOverflow="overflow" vert="horz" wrap="square" lIns="69215" tIns="128270" rIns="69215" bIns="99060" numCol="1" spcCol="0" rtlCol="0" fromWordArt="0" anchor="ctr" anchorCtr="0" forceAA="0" compatLnSpc="0" upright="1">
                          <a:prstTxWarp prst="textNoShape"/>
                        </wps:bodyPr>
                      </wps:wsp>
                    </wpg:wgp>
                  </a:graphicData>
                </a:graphic>
              </wp:inline>
            </w:drawing>
          </mc:Choice>
          <mc:Fallback>
            <w:pict>
              <v:group id="_x0000_s30" style="position:static;width:441.4pt;height:295.9pt;z-index:251624960" coordorigin="1440,6373" coordsize="8828,5919">
                <v:shape id="_x0000_s22" style="position:absolute;left:2905;top:6373;width:5888;height:5918;z-index:251624960" coordsize="3738880,3757930" path="m,1878965xe" strokecolor="#bc8c00" o:allowoverlap="1" strokeweight="0.-5pt" fillcolor="#ffc000" filled="t"/>
                <v:shape id="_x0000_s23" style="position:absolute;left:3495;top:7559;width:4708;height:4734;z-index:251624961" coordsize="2989580,3006090" path="m,1503045xe" strokecolor="#ffffff" o:allowoverlap="1" strokeweight="0.-5pt" fillcolor="#ff0000" filled="t"/>
                <v:shape id="_x0000_s24" style="position:absolute;left:4083;top:8741;width:3532;height:3552;z-index:251624962" coordsize="2242820,2255520" path="m,1127760xe" strokecolor="#ffffff" o:allowoverlap="1" strokeweight="0.-5pt" fillcolor="#843c0b" filled="t"/>
                <v:shape id="_x0000_s25" style="position:absolute;left:4670;top:9924;width:2358;height:2368;z-index:251624963" coordsize="1497330,1503680" path="m,751840xe" strokecolor="#ffffff" o:allowoverlap="1" strokeweight="0.-5pt" fillcolor="#770055" filled="t"/>
                <v:shape id="_x0000_s26" style="position:absolute;left:5026;top:6666;width:1647;height:892;v-text-anchor:middle;z-index:251624964" coordsize="1045845,566420" path="m,l1045845,,1045845,566420,,566420xe" stroked="f" filled="f">
                  <v:textbox style="" inset="5pt,10pt,5pt,8pt">
                    <w:txbxContent>
                      <w:p>
                        <w:pPr>
                          <w:bidi w:val="0"/>
                          <w:numPr>
                            <w:ilvl w:val="0"/>
                            <w:numId w:val="0"/>
                          </w:numPr>
                          <w:jc w:val="center"/>
                          <w:spacing w:lineRule="auto" w:line="240" w:before="0" w:after="0"/>
                          <w:ind w:right="0" w:left="1" w:hanging="1"/>
                          <w:rPr>
                            <w:color w:val="auto"/>
                            <w:position w:val="0"/>
                            <w:sz w:val="28"/>
                            <w:szCs w:val="28"/>
                            <w:rFonts w:ascii="宋体" w:eastAsia="宋体" w:hAnsi="宋体" w:hint="default"/>
                          </w:rPr>
                          <w:wordWrap w:val="off"/>
                          <w:autoSpaceDE w:val="1"/>
                          <w:autoSpaceDN w:val="1"/>
                        </w:pPr>
                        <w:r>
                          <w:rPr>
                            <w:color w:val="auto"/>
                            <w:position w:val="0"/>
                            <w:sz w:val="28"/>
                            <w:szCs w:val="28"/>
                            <w:rFonts w:ascii="宋体" w:eastAsia="宋体" w:hAnsi="宋体" w:hint="default"/>
                          </w:rPr>
                          <w:t>日常管理</w:t>
                        </w:r>
                      </w:p>
                    </w:txbxContent>
                  </v:textbox>
                </v:shape>
                <v:shape id="_x0000_s27" style="position:absolute;left:5026;top:7840;width:1647;height:852;v-text-anchor:middle;z-index:251624965" coordsize="1045845,541020" path="m,l1045845,,1045845,541020,,541020xe" stroked="f" filled="f">
                  <v:textbox style="" inset="5pt,10pt,5pt,8pt">
                    <w:txbxContent>
                      <w:p>
                        <w:pPr>
                          <w:bidi w:val="0"/>
                          <w:numPr>
                            <w:ilvl w:val="0"/>
                            <w:numId w:val="0"/>
                          </w:numPr>
                          <w:jc w:val="center"/>
                          <w:spacing w:lineRule="auto" w:line="240" w:before="0" w:after="0"/>
                          <w:ind w:right="0" w:left="1" w:hanging="1"/>
                          <w:rPr>
                            <w:color w:val="auto"/>
                            <w:position w:val="0"/>
                            <w:sz w:val="26"/>
                            <w:szCs w:val="26"/>
                            <w:rFonts w:ascii="宋体" w:eastAsia="宋体" w:hAnsi="宋体" w:hint="default"/>
                          </w:rPr>
                          <w:wordWrap w:val="off"/>
                          <w:autoSpaceDE w:val="1"/>
                          <w:autoSpaceDN w:val="1"/>
                        </w:pPr>
                        <w:r>
                          <w:rPr>
                            <w:color w:val="auto"/>
                            <w:position w:val="0"/>
                            <w:sz w:val="26"/>
                            <w:szCs w:val="26"/>
                            <w:rFonts w:ascii="宋体" w:eastAsia="宋体" w:hAnsi="宋体" w:hint="default"/>
                          </w:rPr>
                          <w:t>情景领导力</w:t>
                        </w:r>
                      </w:p>
                    </w:txbxContent>
                  </v:textbox>
                </v:shape>
                <v:shape id="_x0000_s28" style="position:absolute;left:4978;top:9006;width:2018;height:800;v-text-anchor:middle;z-index:251624966" coordsize="1281430,508000" path="m,l1281430,,1281430,508000,,508000xe" stroked="f" filled="f">
                  <v:textbox style="" inset="5pt,10pt,5pt,8pt">
                    <w:txbxContent>
                      <w:p>
                        <w:pPr>
                          <w:bidi w:val="0"/>
                          <w:numPr>
                            <w:ilvl w:val="0"/>
                            <w:numId w:val="0"/>
                          </w:numPr>
                          <w:jc w:val="center"/>
                          <w:spacing w:lineRule="auto" w:line="240" w:before="0" w:after="0"/>
                          <w:ind w:right="0" w:left="1" w:hanging="1"/>
                          <w:rPr>
                            <w:color w:val="auto"/>
                            <w:position w:val="0"/>
                            <w:sz w:val="24"/>
                            <w:szCs w:val="24"/>
                            <w:rFonts w:ascii="宋体" w:eastAsia="宋体" w:hAnsi="宋体" w:hint="default"/>
                          </w:rPr>
                          <w:wordWrap w:val="off"/>
                          <w:autoSpaceDE w:val="1"/>
                          <w:autoSpaceDN w:val="1"/>
                        </w:pPr>
                        <w:r>
                          <w:rPr>
                            <w:color w:val="auto"/>
                            <w:position w:val="0"/>
                            <w:sz w:val="24"/>
                            <w:szCs w:val="24"/>
                            <w:rFonts w:ascii="宋体" w:eastAsia="宋体" w:hAnsi="宋体" w:hint="default"/>
                          </w:rPr>
                          <w:t>认同感与荣誉感</w:t>
                        </w:r>
                      </w:p>
                    </w:txbxContent>
                  </v:textbox>
                </v:shape>
                <v:shape id="_x0000_s29" style="position:absolute;left:5018;top:10514;width:1662;height:1186;v-text-anchor:middle;z-index:251624967" coordsize="1055370,753110" path="m,l1055370,,1055370,753110,,753110xe" stroked="f" filled="f">
                  <v:textbox style="" inset="5pt,10pt,5pt,8pt">
                    <w:txbxContent>
                      <w:p>
                        <w:pPr>
                          <w:bidi w:val="0"/>
                          <w:numPr>
                            <w:ilvl w:val="0"/>
                            <w:numId w:val="0"/>
                          </w:numPr>
                          <w:jc w:val="center"/>
                          <w:spacing w:lineRule="auto" w:line="240" w:before="0" w:after="0"/>
                          <w:ind w:right="0" w:left="1" w:hanging="1"/>
                          <w:rPr>
                            <w:color w:val="auto"/>
                            <w:position w:val="0"/>
                            <w:sz w:val="28"/>
                            <w:szCs w:val="28"/>
                            <w:rFonts w:ascii="宋体" w:eastAsia="宋体" w:hAnsi="宋体" w:hint="default"/>
                          </w:rPr>
                          <w:wordWrap w:val="off"/>
                          <w:autoSpaceDE w:val="1"/>
                          <w:autoSpaceDN w:val="1"/>
                        </w:pPr>
                        <w:r>
                          <w:rPr>
                            <w:color w:val="auto"/>
                            <w:position w:val="0"/>
                            <w:sz w:val="28"/>
                            <w:szCs w:val="28"/>
                            <w:rFonts w:ascii="宋体" w:eastAsia="宋体" w:hAnsi="宋体" w:hint="default"/>
                          </w:rPr>
                          <w:t>核心价值观</w:t>
                        </w:r>
                      </w:p>
                    </w:txbxContent>
                  </v:textbox>
                </v:shape>
              </v:group>
            </w:pict>
          </mc:Fallback>
        </mc:AlternateConten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认同感与荣誉感</w:t>
      </w: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   对于蓝领员工而言， 其往往只知道自己所生产的产品 ，但是不知产品的用途， 也不知道产</w:t>
      </w:r>
      <w:r>
        <w:rPr>
          <w:b w:val="0"/>
          <w:color w:val="auto"/>
          <w:position w:val="0"/>
          <w:sz w:val="21"/>
          <w:szCs w:val="21"/>
          <w:rFonts w:ascii="Calibri" w:eastAsia="宋体" w:hAnsi="宋体" w:hint="default"/>
        </w:rPr>
        <w:t xml:space="preserve">品的供应链， 以及企业在市场中的位置和价值。 对于此， 公司会安排工厂管理者到公司总部进</w:t>
      </w:r>
      <w:r>
        <w:rPr>
          <w:b w:val="0"/>
          <w:color w:val="auto"/>
          <w:position w:val="0"/>
          <w:sz w:val="21"/>
          <w:szCs w:val="21"/>
          <w:rFonts w:ascii="Calibri" w:eastAsia="宋体" w:hAnsi="宋体" w:hint="default"/>
        </w:rPr>
        <w:t xml:space="preserve">行为期 1-2·天的WORKSHOP ， 在WORKSHOP 过程中， 员工首先会了解企业所欲偶产品（例如，</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完整的冰箱或汽车发送机会被切开， 使员工能够真实地看见产品的运作），进而·增强员工的自豪</w:t>
      </w:r>
      <w:r>
        <w:rPr>
          <w:b w:val="0"/>
          <w:color w:val="auto"/>
          <w:position w:val="0"/>
          <w:sz w:val="21"/>
          <w:szCs w:val="21"/>
          <w:rFonts w:ascii="Calibri" w:eastAsia="宋体" w:hAnsi="宋体" w:hint="default"/>
        </w:rPr>
        <w:t xml:space="preserve">感和产品的感情。 企业认为·， 只有当管理者建立对公司的信任之后， 才会向一线蓝领员工传授，</w:t>
      </w:r>
      <w:r>
        <w:rPr>
          <w:b w:val="0"/>
          <w:color w:val="auto"/>
          <w:position w:val="0"/>
          <w:sz w:val="21"/>
          <w:szCs w:val="21"/>
          <w:rFonts w:ascii="Calibri" w:eastAsia="宋体" w:hAnsi="宋体" w:hint="default"/>
        </w:rPr>
        <w:t xml:space="preserve"> 才会尽最大的努力保留员工， 向其传递对企业的认可、信心和自豪感。 </w:t>
      </w: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“情景领导力”</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就员工关系管理 、冲突管理而言，企业开设了“情景领导力”课程对管理者进行培训--针对员工的类</w:t>
      </w:r>
      <w:r>
        <w:rPr>
          <w:b w:val="0"/>
          <w:color w:val="auto"/>
          <w:position w:val="0"/>
          <w:sz w:val="21"/>
          <w:szCs w:val="21"/>
          <w:rFonts w:ascii="Calibri" w:eastAsia="宋体" w:hAnsi="宋体" w:hint="default"/>
        </w:rPr>
        <w:t xml:space="preserve">型，有不同的沟通方式、工作分配方式（在公司，依据“能力”和“意愿” 两个维度的高低程度，将员</w:t>
      </w:r>
      <w:r>
        <w:rPr>
          <w:b w:val="0"/>
          <w:color w:val="auto"/>
          <w:position w:val="0"/>
          <w:sz w:val="21"/>
          <w:szCs w:val="21"/>
          <w:rFonts w:ascii="Calibri" w:eastAsia="宋体" w:hAnsi="宋体" w:hint="default"/>
        </w:rPr>
        <w:t>工区分为4类型）</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“情景领导力”课程设计主要通过授课、案例、经验分享的形式进行，首先会向管理者讲授理论；然后，</w:t>
      </w:r>
      <w:r>
        <w:rPr>
          <w:b w:val="0"/>
          <w:color w:val="auto"/>
          <w:position w:val="0"/>
          <w:sz w:val="21"/>
          <w:szCs w:val="21"/>
          <w:rFonts w:ascii="Calibri" w:eastAsia="宋体" w:hAnsi="宋体" w:hint="default"/>
        </w:rPr>
        <w:t xml:space="preserve"> 通过案例演练（角色扮演）的形式深入理解和思考所学的知识—案例演练共两场，在第一场演练</w:t>
      </w:r>
      <w:r>
        <w:rPr>
          <w:b w:val="0"/>
          <w:color w:val="auto"/>
          <w:position w:val="0"/>
          <w:sz w:val="21"/>
          <w:szCs w:val="21"/>
          <w:rFonts w:ascii="Calibri" w:eastAsia="宋体" w:hAnsi="宋体" w:hint="default"/>
        </w:rPr>
        <w:t xml:space="preserve">后，大家共同分析和评价，融合大家的改进建议后再进行第二场演练；同时 ， 不同工厂间的管</w:t>
      </w:r>
      <w:r>
        <w:rPr>
          <w:b w:val="0"/>
          <w:color w:val="auto"/>
          <w:position w:val="0"/>
          <w:sz w:val="21"/>
          <w:szCs w:val="21"/>
          <w:rFonts w:ascii="Calibri" w:eastAsia="宋体" w:hAnsi="宋体" w:hint="default"/>
        </w:rPr>
        <w:t>理者也有机会集中在一起进行相互交流本工厂的实践，分享后员工有家庭做作业，即员工日常工</w:t>
      </w:r>
      <w:r>
        <w:rPr>
          <w:b w:val="0"/>
          <w:color w:val="auto"/>
          <w:position w:val="0"/>
          <w:sz w:val="21"/>
          <w:szCs w:val="21"/>
          <w:rFonts w:ascii="Calibri" w:eastAsia="宋体" w:hAnsi="宋体" w:hint="default"/>
        </w:rPr>
        <w:t xml:space="preserve">作中遇到的问题以及处理过程，作业内容会被HR 评估打分，优秀案例会被纳入教学资料， 反之</w:t>
      </w:r>
      <w:r>
        <w:rPr>
          <w:b w:val="0"/>
          <w:color w:val="auto"/>
          <w:position w:val="0"/>
          <w:sz w:val="21"/>
          <w:szCs w:val="21"/>
          <w:rFonts w:ascii="Calibri" w:eastAsia="宋体" w:hAnsi="宋体" w:hint="default"/>
        </w:rPr>
        <w:t xml:space="preserve">成为教学案例。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r>
        <w:rPr>
          <w:b w:val="1"/>
          <w:color w:val="auto"/>
          <w:position w:val="0"/>
          <w:sz w:val="21"/>
          <w:szCs w:val="21"/>
          <w:rFonts w:ascii="Calibri" w:eastAsia="宋体" w:hAnsi="宋体" w:hint="default"/>
        </w:rPr>
        <w:t>日常管理</w:t>
      </w:r>
    </w:p>
    <w:p>
      <w:pPr>
        <w:numPr>
          <w:ilvl w:val="0"/>
          <w:numId w:val="0"/>
        </w:numPr>
        <w:jc w:val="left"/>
        <w:spacing w:lineRule="auto" w:line="240" w:before="0" w:after="0"/>
        <w:ind w:right="0" w:firstLine="0"/>
        <w:tabs>
          <w:tab w:val="left" w:pos="2835"/>
        </w:tabs>
        <w:rPr>
          <w:b w:val="1"/>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针对初级管理者，企业会通过针对性项目帮助初级管理者适应岗位。“KEY CARD ”项目为例</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——企业会将基层管理人员每天需要做的工作用的卡片的形式进行显现，如“巡线”、“员工交流”</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r>
        <w:rPr>
          <w:b w:val="0"/>
          <w:color w:val="auto"/>
          <w:position w:val="0"/>
          <w:sz w:val="21"/>
          <w:szCs w:val="21"/>
          <w:rFonts w:ascii="Calibri" w:eastAsia="宋体" w:hAnsi="宋体" w:hint="default"/>
        </w:rPr>
        <w:t xml:space="preserve">“日报表”，管理者每完成一个项目要做标注，通过形式帮助员工进行工作规划和时间管理。 类似与</w:t>
      </w:r>
      <w:r>
        <w:rPr>
          <w:b w:val="0"/>
          <w:color w:val="auto"/>
          <w:position w:val="0"/>
          <w:sz w:val="21"/>
          <w:szCs w:val="21"/>
          <w:rFonts w:ascii="Calibri" w:eastAsia="宋体" w:hAnsi="宋体" w:hint="default"/>
        </w:rPr>
        <w:t xml:space="preserve">此， 企业也会将晨会、交接班的流程标准化，是管理者有法可依，而不是按照自己的方式随性而</w:t>
      </w:r>
      <w:r>
        <w:rPr>
          <w:b w:val="0"/>
          <w:color w:val="auto"/>
          <w:position w:val="0"/>
          <w:sz w:val="21"/>
          <w:szCs w:val="21"/>
          <w:rFonts w:ascii="Calibri" w:eastAsia="宋体" w:hAnsi="宋体" w:hint="default"/>
        </w:rPr>
        <w:t xml:space="preserve">行。 </w:t>
      </w: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p>
      <w:pPr>
        <w:numPr>
          <w:ilvl w:val="0"/>
          <w:numId w:val="0"/>
        </w:numPr>
        <w:jc w:val="left"/>
        <w:spacing w:lineRule="auto" w:line="240" w:before="0" w:after="0"/>
        <w:ind w:right="0" w:firstLine="0"/>
        <w:tabs>
          <w:tab w:val="left" w:pos="2835"/>
        </w:tabs>
        <w:rPr>
          <w:b w:val="0"/>
          <w:color w:val="auto"/>
          <w:position w:val="0"/>
          <w:sz w:val="21"/>
          <w:szCs w:val="21"/>
          <w:rFonts w:ascii="Calibri" w:eastAsia="宋体" w:hAnsi="宋体" w:hint="default"/>
        </w:rPr>
        <w:wordWrap w:val="off"/>
        <w:autoSpaceDE w:val="1"/>
        <w:autoSpaceDN w:val="1"/>
      </w:pPr>
    </w:p>
    <w:sectPr>
      <w:footnotePr>
        <w:numFmt w:val="decimal"/>
        <w:numRestart w:val="continuous"/>
        <w:numStart w:val="1"/>
        <w:pos w:val="pageBottom"/>
      </w:footnotePr>
      <w:endnotePr>
        <w:numFmt w:val="lowerRoman"/>
        <w:numRestart w:val="continuous"/>
        <w:numStart w:val="1"/>
        <w:pos w:val="docEnd"/>
      </w:endnotePr>
      <w:pgSz w:w="11906" w:h="16838"/>
      <w:pgMar w:top="1701" w:left="1440" w:bottom="1440" w:right="1440" w:header="708" w:footer="708" w:gutter="0"/>
      <w:pgNumType w:fmt="decimal"/>
      <w:docGrid w:type="default" w:linePitch="360" w:charSpace="6144"/>
    </w:sectPr>
  </w:body>
</w:document>
</file>

<file path=word/fontTable.xml><?xml version="1.0" encoding="utf-8"?>
<w:fonts xmlns:r="http://schemas.openxmlformats.org/officeDocument/2006/relationships" xmlns:w="http://schemas.openxmlformats.org/wordprocessingml/2006/main">
  <w:font w:name="宋体">
    <w:panose1 w:val="020F0502020204030204"/>
    <w:charset w:val="0"/>
    <w:family w:val="mordern"/>
    <w:pitch w:val="variable"/>
    <w:sig w:usb0="A00002EF" w:usb1="4000207B" w:usb2="00000000" w:usb3="00000000" w:csb0="FFFFFFFF" w:csb1="00000000"/>
  </w:font>
  <w:font w:name="Calibri">
    <w:panose1 w:val="020F0502020204030204"/>
    <w:charset w:val="0"/>
    <w:family w:val="mordern"/>
    <w:pitch w:val="variable"/>
    <w:sig w:usb0="A00002EF" w:usb1="4000207B" w:usb2="00000000" w:usb3="00000000" w:csb0="FFFFFFFF" w:csb1="00000000"/>
  </w:font>
  <w:font w:name="Wingdings">
    <w:panose1 w:val="020F0502020204030204"/>
    <w:charset w:val="0"/>
    <w:family w:val="mordern"/>
    <w:pitch w:val="variable"/>
    <w:sig w:usb0="A00002EF" w:usb1="4000207B" w:usb2="00000000" w:usb3="00000000" w:csb0="FFFFFFFF" w:csb1="00000000"/>
  </w:font>
  <w:font w:name="Times New Roman">
    <w:panose1 w:val="020F0502020204030204"/>
    <w:charset w:val="0"/>
    <w:family w:val="mordern"/>
    <w:pitch w:val="variable"/>
    <w:sig w:usb0="A00002EF" w:usb1="4000207B" w:usb2="00000000" w:usb3="00000000" w:csb0="FFFFFFFF" w:csb1="00000000"/>
  </w:font>
  <w:font w:name="맑은 고딕">
    <w:panose1 w:val="020F0502020204030204"/>
    <w:charset w:val="0"/>
    <w:family w:val="mordern"/>
    <w:pitch w:val="variable"/>
    <w:sig w:usb0="A00002EF" w:usb1="4000207B" w:usb2="00000000" w:usb3="00000000" w:csb0="FFFFFF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avePreviewPicture/>
  <w:proofState w:spelling="clean" w:grammar="clean"/>
  <w:defaultTabStop w:val="800"/>
  <w:displayHorizontalDrawingGridEvery w:val="0"/>
  <w:displayVerticalDrawingGridEvery w:val="2"/>
  <w:noPunctuationKerning/>
  <w:characterSpacingControl w:val="doNotCompress"/>
  <w:bordersDoNotSurroundHeader/>
  <w:bordersDoNotSurroundFooter/>
  <w:compat>
    <w:balanceSingleByteDoubleByteWidth/>
    <w:useFELayout/>
    <w:compatSetting w:name="compatibilityMode" w:uri="http://schemas.microsoft.com/office/word" w:val="15"/>
  </w:compat>
  <m:mathPr>
    <m:mathFont m:value="Cambria Math"/>
    <m:brkBin m:value="before"/>
    <m:brkBinSub m:value="--"/>
    <m:smallFrac m:value="off"/>
    <m:dispDef/>
    <m:lMargin m:value="0"/>
    <m:rMargin m:value="0"/>
    <m:defJc m:value="centerGroup"/>
    <m:wrapIndent m:value="1440"/>
    <m:intLim m:value="subSup"/>
    <m:naryLim m:value="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w:docDefaults>
    <w:pPrDefault>
      <w:pPr>
        <w:autoSpaceDE w:val="1"/>
        <w:autoSpaceDN w:val="1"/>
        <w:jc w:val="both"/>
        <w:widowControl/>
        <w:wordWrap/>
      </w:pPr>
    </w:pPrDefault>
    <w:rPrDefault>
      <w:rPr>
        <w:shd w:val="clear"/>
        <w:sz w:val="21"/>
        <w:szCs w:val="21"/>
        <w:w w:val="100"/>
      </w:rPr>
    </w:rPrDefault>
  </w:docDefaults>
  <w:style w:default="1" w:styleId="PO1" w:type="paragraph">
    <w:name w:val="Normal"/>
    <w:link w:val="PO-1"/>
    <w:qFormat/>
    <w:uiPriority w:val="1"/>
    <w:pPr>
      <w:autoSpaceDE w:val="1"/>
      <w:autoSpaceDN w:val="1"/>
      <w:jc w:val="both"/>
      <w:widowControl/>
      <w:wordWrap/>
    </w:pPr>
    <w:rPr>
      <w:shd w:val="clear"/>
      <w:sz w:val="21"/>
      <w:szCs w:val="21"/>
      <w:w w:val="100"/>
    </w:rPr>
  </w:style>
  <w:style w:default="1" w:styleId="PO2" w:type="character">
    <w:name w:val="Default Paragraph Font"/>
    <w:qFormat/>
    <w:uiPriority w:val="2"/>
    <w:semiHidden/>
    <w:unhideWhenUsed/>
    <w:rPr>
      <w:shd w:val="clear"/>
      <w:sz w:val="21"/>
      <w:szCs w:val="21"/>
      <w:w w:val="100"/>
    </w:rPr>
  </w:style>
  <w:style w:default="1" w:styleId="PO3" w:type="table">
    <w:name w:val="Normal Table"/>
    <w:basedOn w:val="PO3"/>
    <w:uiPriority w:val="3"/>
    <w:tblPr>
      <w:tblCellMar>
        <w:bottom w:type="dxa" w:w="0"/>
        <w:left w:type="dxa" w:w="108"/>
        <w:right w:type="dxa" w:w="108"/>
        <w:top w:type="dxa" w:w="0"/>
      </w:tblCellMar>
      <w:tblInd w:type="dxa" w:w="0"/>
    </w:tblPr>
  </w:style>
  <w:style w:default="1" w:styleId="PO4" w:type="numbering">
    <w:name w:val="No List"/>
    <w:uiPriority w:val="4"/>
    <w:semiHidden/>
    <w:unhideWhenUsed/>
  </w:style>
  <w:style w:styleId="PO5" w:type="paragraph">
    <w:name w:val="No Spacing"/>
    <w:link w:val="PO-1"/>
    <w:qFormat/>
    <w:uiPriority w:val="5"/>
    <w:pPr>
      <w:autoSpaceDE w:val="1"/>
      <w:autoSpaceDN w:val="1"/>
      <w:jc w:val="both"/>
      <w:widowControl/>
      <w:wordWrap/>
    </w:pPr>
    <w:rPr>
      <w:shd w:val="clear"/>
      <w:sz w:val="21"/>
      <w:szCs w:val="21"/>
      <w:w w:val="100"/>
    </w:rPr>
  </w:style>
  <w:style w:styleId="PO6" w:type="paragraph">
    <w:name w:val="Title"/>
    <w:link w:val="PO-1"/>
    <w:qFormat/>
    <w:uiPriority w:val="6"/>
    <w:pPr>
      <w:autoSpaceDE w:val="1"/>
      <w:autoSpaceDN w:val="1"/>
      <w:jc w:val="center"/>
      <w:widowControl/>
      <w:wordWrap/>
    </w:pPr>
    <w:rPr>
      <w:b/>
      <w:shd w:val="clear"/>
      <w:sz w:val="32"/>
      <w:szCs w:val="32"/>
      <w:w w:val="100"/>
    </w:rPr>
  </w:style>
  <w:style w:styleId="PO7" w:type="paragraph">
    <w:name w:val="heading 1"/>
    <w:link w:val="PO-1"/>
    <w:qFormat/>
    <w:uiPriority w:val="7"/>
    <w:pPr>
      <w:autoSpaceDE w:val="1"/>
      <w:autoSpaceDN w:val="1"/>
      <w:jc w:val="both"/>
      <w:widowControl/>
      <w:wordWrap/>
    </w:pPr>
    <w:rPr>
      <w:shd w:val="clear"/>
      <w:sz w:val="28"/>
      <w:szCs w:val="28"/>
      <w:w w:val="100"/>
    </w:rPr>
  </w:style>
  <w:style w:styleId="PO8" w:type="paragraph">
    <w:name w:val="heading 2"/>
    <w:link w:val="PO-1"/>
    <w:qFormat/>
    <w:uiPriority w:val="8"/>
    <w:pPr>
      <w:autoSpaceDE w:val="1"/>
      <w:autoSpaceDN w:val="1"/>
      <w:jc w:val="both"/>
      <w:widowControl/>
      <w:wordWrap/>
    </w:pPr>
    <w:rPr>
      <w:shd w:val="clear"/>
      <w:sz w:val="21"/>
      <w:szCs w:val="21"/>
      <w:w w:val="100"/>
    </w:rPr>
  </w:style>
  <w:style w:styleId="PO9" w:type="paragraph">
    <w:name w:val="heading 3"/>
    <w:link w:val="PO-1"/>
    <w:qFormat/>
    <w:uiPriority w:val="9"/>
    <w:pPr>
      <w:autoSpaceDE w:val="1"/>
      <w:autoSpaceDN w:val="1"/>
      <w:ind w:left="1000" w:hanging="400"/>
      <w:jc w:val="both"/>
      <w:widowControl/>
      <w:wordWrap/>
    </w:pPr>
    <w:rPr>
      <w:shd w:val="clear"/>
      <w:sz w:val="21"/>
      <w:szCs w:val="21"/>
      <w:w w:val="100"/>
    </w:rPr>
  </w:style>
  <w:style w:styleId="PO10" w:type="paragraph">
    <w:name w:val="heading 4"/>
    <w:link w:val="PO-1"/>
    <w:qFormat/>
    <w:uiPriority w:val="10"/>
    <w:pPr>
      <w:autoSpaceDE w:val="1"/>
      <w:autoSpaceDN w:val="1"/>
      <w:ind w:left="1200" w:hanging="400"/>
      <w:jc w:val="both"/>
      <w:widowControl/>
      <w:wordWrap/>
    </w:pPr>
    <w:rPr>
      <w:b/>
      <w:shd w:val="clear"/>
      <w:sz w:val="21"/>
      <w:szCs w:val="21"/>
      <w:w w:val="100"/>
    </w:rPr>
  </w:style>
  <w:style w:styleId="PO11" w:type="paragraph">
    <w:name w:val="heading 5"/>
    <w:link w:val="PO-1"/>
    <w:qFormat/>
    <w:uiPriority w:val="11"/>
    <w:pPr>
      <w:autoSpaceDE w:val="1"/>
      <w:autoSpaceDN w:val="1"/>
      <w:ind w:left="1400" w:hanging="400"/>
      <w:jc w:val="both"/>
      <w:widowControl/>
      <w:wordWrap/>
    </w:pPr>
    <w:rPr>
      <w:shd w:val="clear"/>
      <w:sz w:val="21"/>
      <w:szCs w:val="21"/>
      <w:w w:val="100"/>
    </w:rPr>
  </w:style>
  <w:style w:styleId="PO12" w:type="paragraph">
    <w:name w:val="heading 6"/>
    <w:link w:val="PO-1"/>
    <w:qFormat/>
    <w:uiPriority w:val="12"/>
    <w:pPr>
      <w:autoSpaceDE w:val="1"/>
      <w:autoSpaceDN w:val="1"/>
      <w:ind w:left="1600" w:hanging="400"/>
      <w:jc w:val="both"/>
      <w:widowControl/>
      <w:wordWrap/>
    </w:pPr>
    <w:rPr>
      <w:b/>
      <w:shd w:val="clear"/>
      <w:sz w:val="21"/>
      <w:szCs w:val="21"/>
      <w:w w:val="100"/>
    </w:rPr>
  </w:style>
  <w:style w:styleId="PO13" w:type="paragraph">
    <w:name w:val="heading 7"/>
    <w:link w:val="PO-1"/>
    <w:qFormat/>
    <w:uiPriority w:val="13"/>
    <w:pPr>
      <w:autoSpaceDE w:val="1"/>
      <w:autoSpaceDN w:val="1"/>
      <w:ind w:left="1800" w:hanging="400"/>
      <w:jc w:val="both"/>
      <w:widowControl/>
      <w:wordWrap/>
    </w:pPr>
    <w:rPr>
      <w:shd w:val="clear"/>
      <w:sz w:val="21"/>
      <w:szCs w:val="21"/>
      <w:w w:val="100"/>
    </w:rPr>
  </w:style>
  <w:style w:styleId="PO14" w:type="paragraph">
    <w:name w:val="heading 8"/>
    <w:link w:val="PO-1"/>
    <w:qFormat/>
    <w:uiPriority w:val="14"/>
    <w:pPr>
      <w:autoSpaceDE w:val="1"/>
      <w:autoSpaceDN w:val="1"/>
      <w:ind w:left="2000" w:hanging="400"/>
      <w:jc w:val="both"/>
      <w:widowControl/>
      <w:wordWrap/>
    </w:pPr>
    <w:rPr>
      <w:shd w:val="clear"/>
      <w:sz w:val="21"/>
      <w:szCs w:val="21"/>
      <w:w w:val="100"/>
    </w:rPr>
  </w:style>
  <w:style w:styleId="PO15" w:type="paragraph">
    <w:name w:val="heading 9"/>
    <w:link w:val="PO-1"/>
    <w:qFormat/>
    <w:uiPriority w:val="15"/>
    <w:pPr>
      <w:autoSpaceDE w:val="1"/>
      <w:autoSpaceDN w:val="1"/>
      <w:ind w:left="2200" w:hanging="400"/>
      <w:jc w:val="both"/>
      <w:widowControl/>
      <w:wordWrap/>
    </w:pPr>
    <w:rPr>
      <w:shd w:val="clear"/>
      <w:sz w:val="21"/>
      <w:szCs w:val="21"/>
      <w:w w:val="100"/>
    </w:rPr>
  </w:style>
  <w:style w:styleId="PO16" w:type="paragraph">
    <w:name w:val="Subtitle"/>
    <w:link w:val="PO-1"/>
    <w:qFormat/>
    <w:uiPriority w:val="16"/>
    <w:pPr>
      <w:autoSpaceDE w:val="1"/>
      <w:autoSpaceDN w:val="1"/>
      <w:jc w:val="center"/>
      <w:widowControl/>
      <w:wordWrap/>
    </w:pPr>
    <w:rPr>
      <w:shd w:val="clear"/>
      <w:sz w:val="24"/>
      <w:szCs w:val="24"/>
      <w:w w:val="100"/>
    </w:rPr>
  </w:style>
  <w:style w:styleId="PO17" w:type="character">
    <w:name w:val="Subtle Emphasis"/>
    <w:qFormat/>
    <w:uiPriority w:val="17"/>
    <w:rPr>
      <w:color w:val="404040"/>
      <w:i/>
      <w:shd w:val="clear"/>
      <w:sz w:val="21"/>
      <w:szCs w:val="21"/>
      <w:w w:val="100"/>
    </w:rPr>
  </w:style>
  <w:style w:styleId="PO18" w:type="character">
    <w:name w:val="Emphasis"/>
    <w:qFormat/>
    <w:uiPriority w:val="18"/>
    <w:rPr>
      <w:i/>
      <w:shd w:val="clear"/>
      <w:sz w:val="21"/>
      <w:szCs w:val="21"/>
      <w:w w:val="100"/>
    </w:rPr>
  </w:style>
  <w:style w:styleId="PO19" w:type="character">
    <w:name w:val="Intense Emphasis"/>
    <w:qFormat/>
    <w:uiPriority w:val="19"/>
    <w:rPr>
      <w:color w:val="5B9BD5"/>
      <w:i/>
      <w:shd w:val="clear"/>
      <w:sz w:val="21"/>
      <w:szCs w:val="21"/>
      <w:w w:val="100"/>
    </w:rPr>
  </w:style>
  <w:style w:styleId="PO20" w:type="character">
    <w:name w:val="Strong"/>
    <w:qFormat/>
    <w:uiPriority w:val="20"/>
    <w:rPr>
      <w:b/>
      <w:shd w:val="clear"/>
      <w:sz w:val="21"/>
      <w:szCs w:val="21"/>
      <w:w w:val="100"/>
    </w:rPr>
  </w:style>
  <w:style w:styleId="PO21" w:type="paragraph">
    <w:name w:val="Quote"/>
    <w:link w:val="PO-1"/>
    <w:qFormat/>
    <w:uiPriority w:val="21"/>
    <w:pPr>
      <w:autoSpaceDE w:val="1"/>
      <w:autoSpaceDN w:val="1"/>
      <w:ind w:left="864" w:right="864" w:firstLine="0"/>
      <w:jc w:val="center"/>
      <w:widowControl/>
      <w:wordWrap/>
    </w:pPr>
    <w:rPr>
      <w:color w:val="404040"/>
      <w:i/>
      <w:shd w:val="clear"/>
      <w:sz w:val="21"/>
      <w:szCs w:val="21"/>
      <w:w w:val="100"/>
    </w:rPr>
  </w:style>
  <w:style w:styleId="PO22" w:type="paragraph">
    <w:name w:val="Intense Quote"/>
    <w:link w:val="PO-1"/>
    <w:qFormat/>
    <w:uiPriority w:val="22"/>
    <w:pPr>
      <w:autoSpaceDE w:val="1"/>
      <w:autoSpaceDN w:val="1"/>
      <w:ind w:left="950" w:right="950" w:firstLine="0"/>
      <w:jc w:val="center"/>
      <w:widowControl/>
      <w:wordWrap/>
    </w:pPr>
    <w:rPr>
      <w:color w:val="5B9BD5"/>
      <w:i/>
      <w:shd w:val="clear"/>
      <w:sz w:val="21"/>
      <w:szCs w:val="21"/>
      <w:w w:val="100"/>
    </w:rPr>
  </w:style>
  <w:style w:styleId="PO23" w:type="character">
    <w:name w:val="Subtle Reference"/>
    <w:qFormat/>
    <w:uiPriority w:val="23"/>
    <w:rPr>
      <w:color w:val="5A5A5A"/>
      <w:shd w:val="clear"/>
      <w:smallCaps/>
      <w:sz w:val="21"/>
      <w:szCs w:val="21"/>
      <w:w w:val="100"/>
    </w:rPr>
  </w:style>
  <w:style w:styleId="PO24" w:type="character">
    <w:name w:val="Intense Reference"/>
    <w:qFormat/>
    <w:uiPriority w:val="24"/>
    <w:rPr>
      <w:color w:val="5B9BD5"/>
      <w:b/>
      <w:shd w:val="clear"/>
      <w:smallCaps/>
      <w:sz w:val="21"/>
      <w:szCs w:val="21"/>
      <w:w w:val="100"/>
    </w:rPr>
  </w:style>
  <w:style w:styleId="PO25" w:type="character">
    <w:name w:val="Book Title"/>
    <w:qFormat/>
    <w:uiPriority w:val="25"/>
    <w:rPr>
      <w:i/>
      <w:b/>
      <w:shd w:val="clear"/>
      <w:sz w:val="21"/>
      <w:szCs w:val="21"/>
      <w:w w:val="100"/>
    </w:rPr>
  </w:style>
  <w:style w:styleId="PO26" w:type="paragraph">
    <w:name w:val="List Paragraph"/>
    <w:link w:val="PO-1"/>
    <w:qFormat/>
    <w:uiPriority w:val="26"/>
    <w:pPr>
      <w:autoSpaceDE w:val="1"/>
      <w:autoSpaceDN w:val="1"/>
      <w:ind w:left="850" w:firstLine="0"/>
      <w:jc w:val="both"/>
      <w:widowControl/>
      <w:wordWrap/>
    </w:pPr>
    <w:rPr>
      <w:shd w:val="clear"/>
      <w:sz w:val="21"/>
      <w:szCs w:val="21"/>
      <w:w w:val="100"/>
    </w:rPr>
  </w:style>
  <w:style w:styleId="PO27" w:type="paragraph">
    <w:name w:val="TOC Heading"/>
    <w:link w:val="PO-1"/>
    <w:qFormat/>
    <w:uiPriority w:val="27"/>
    <w:unhideWhenUsed/>
    <w:pPr>
      <w:autoSpaceDE w:val="1"/>
      <w:autoSpaceDN w:val="1"/>
      <w:widowControl/>
      <w:wordWrap/>
    </w:pPr>
    <w:rPr>
      <w:color w:val="2E74B5"/>
      <w:shd w:val="clear"/>
      <w:sz w:val="32"/>
      <w:szCs w:val="32"/>
      <w:w w:val="100"/>
    </w:rPr>
  </w:style>
  <w:style w:styleId="PO28" w:type="paragraph">
    <w:name w:val="toc 1"/>
    <w:link w:val="PO-1"/>
    <w:qFormat/>
    <w:uiPriority w:val="28"/>
    <w:unhideWhenUsed/>
    <w:pPr>
      <w:autoSpaceDE w:val="1"/>
      <w:autoSpaceDN w:val="1"/>
      <w:jc w:val="both"/>
      <w:widowControl/>
      <w:wordWrap/>
    </w:pPr>
    <w:rPr>
      <w:shd w:val="clear"/>
      <w:sz w:val="21"/>
      <w:szCs w:val="21"/>
      <w:w w:val="100"/>
    </w:rPr>
  </w:style>
  <w:style w:styleId="PO29" w:type="paragraph">
    <w:name w:val="toc 2"/>
    <w:link w:val="PO-1"/>
    <w:qFormat/>
    <w:uiPriority w:val="29"/>
    <w:unhideWhenUsed/>
    <w:pPr>
      <w:autoSpaceDE w:val="1"/>
      <w:autoSpaceDN w:val="1"/>
      <w:ind w:left="425" w:firstLine="0"/>
      <w:jc w:val="both"/>
      <w:widowControl/>
      <w:wordWrap/>
    </w:pPr>
    <w:rPr>
      <w:shd w:val="clear"/>
      <w:sz w:val="21"/>
      <w:szCs w:val="21"/>
      <w:w w:val="100"/>
    </w:rPr>
  </w:style>
  <w:style w:styleId="PO30" w:type="paragraph">
    <w:name w:val="toc 3"/>
    <w:link w:val="PO-1"/>
    <w:qFormat/>
    <w:uiPriority w:val="30"/>
    <w:unhideWhenUsed/>
    <w:pPr>
      <w:autoSpaceDE w:val="1"/>
      <w:autoSpaceDN w:val="1"/>
      <w:ind w:left="850" w:firstLine="0"/>
      <w:jc w:val="both"/>
      <w:widowControl/>
      <w:wordWrap/>
    </w:pPr>
    <w:rPr>
      <w:shd w:val="clear"/>
      <w:sz w:val="21"/>
      <w:szCs w:val="21"/>
      <w:w w:val="100"/>
    </w:rPr>
  </w:style>
  <w:style w:styleId="PO31" w:type="paragraph">
    <w:name w:val="toc 4"/>
    <w:link w:val="PO-1"/>
    <w:qFormat/>
    <w:uiPriority w:val="31"/>
    <w:unhideWhenUsed/>
    <w:pPr>
      <w:autoSpaceDE w:val="1"/>
      <w:autoSpaceDN w:val="1"/>
      <w:ind w:left="1275" w:firstLine="0"/>
      <w:jc w:val="both"/>
      <w:widowControl/>
      <w:wordWrap/>
    </w:pPr>
    <w:rPr>
      <w:shd w:val="clear"/>
      <w:sz w:val="21"/>
      <w:szCs w:val="21"/>
      <w:w w:val="100"/>
    </w:rPr>
  </w:style>
  <w:style w:styleId="PO32" w:type="paragraph">
    <w:name w:val="toc 5"/>
    <w:link w:val="PO-1"/>
    <w:qFormat/>
    <w:uiPriority w:val="32"/>
    <w:unhideWhenUsed/>
    <w:pPr>
      <w:autoSpaceDE w:val="1"/>
      <w:autoSpaceDN w:val="1"/>
      <w:ind w:left="1700" w:firstLine="0"/>
      <w:jc w:val="both"/>
      <w:widowControl/>
      <w:wordWrap/>
    </w:pPr>
    <w:rPr>
      <w:shd w:val="clear"/>
      <w:sz w:val="21"/>
      <w:szCs w:val="21"/>
      <w:w w:val="100"/>
    </w:rPr>
  </w:style>
  <w:style w:styleId="PO33" w:type="paragraph">
    <w:name w:val="toc 6"/>
    <w:link w:val="PO-1"/>
    <w:qFormat/>
    <w:uiPriority w:val="33"/>
    <w:unhideWhenUsed/>
    <w:pPr>
      <w:autoSpaceDE w:val="1"/>
      <w:autoSpaceDN w:val="1"/>
      <w:ind w:left="2125" w:firstLine="0"/>
      <w:jc w:val="both"/>
      <w:widowControl/>
      <w:wordWrap/>
    </w:pPr>
    <w:rPr>
      <w:shd w:val="clear"/>
      <w:sz w:val="21"/>
      <w:szCs w:val="21"/>
      <w:w w:val="100"/>
    </w:rPr>
  </w:style>
  <w:style w:styleId="PO34" w:type="paragraph">
    <w:name w:val="toc 7"/>
    <w:link w:val="PO-1"/>
    <w:qFormat/>
    <w:uiPriority w:val="34"/>
    <w:unhideWhenUsed/>
    <w:pPr>
      <w:autoSpaceDE w:val="1"/>
      <w:autoSpaceDN w:val="1"/>
      <w:ind w:left="2550" w:firstLine="0"/>
      <w:jc w:val="both"/>
      <w:widowControl/>
      <w:wordWrap/>
    </w:pPr>
    <w:rPr>
      <w:shd w:val="clear"/>
      <w:sz w:val="21"/>
      <w:szCs w:val="21"/>
      <w:w w:val="100"/>
    </w:rPr>
  </w:style>
  <w:style w:styleId="PO35" w:type="paragraph">
    <w:name w:val="toc 8"/>
    <w:link w:val="PO-1"/>
    <w:qFormat/>
    <w:uiPriority w:val="35"/>
    <w:unhideWhenUsed/>
    <w:pPr>
      <w:autoSpaceDE w:val="1"/>
      <w:autoSpaceDN w:val="1"/>
      <w:ind w:left="2975" w:firstLine="0"/>
      <w:jc w:val="both"/>
      <w:widowControl/>
      <w:wordWrap/>
    </w:pPr>
    <w:rPr>
      <w:shd w:val="clear"/>
      <w:sz w:val="21"/>
      <w:szCs w:val="21"/>
      <w:w w:val="100"/>
    </w:rPr>
  </w:style>
  <w:style w:styleId="PO36" w:type="paragraph">
    <w:name w:val="toc 9"/>
    <w:link w:val="PO-1"/>
    <w:qFormat/>
    <w:uiPriority w:val="36"/>
    <w:unhideWhenUsed/>
    <w:pPr>
      <w:autoSpaceDE w:val="1"/>
      <w:autoSpaceDN w:val="1"/>
      <w:ind w:left="3400" w:firstLine="0"/>
      <w:jc w:val="both"/>
      <w:widowControl/>
      <w:wordWrap/>
    </w:pPr>
    <w:rPr>
      <w:shd w:val="clear"/>
      <w:sz w:val="21"/>
      <w:szCs w:val="21"/>
      <w:w w:val="100"/>
    </w:rPr>
  </w:style>
  <w:style w:default="1" w:styleId="PO37" w:type="table">
    <w:name w:val="Normal Table"/>
    <w:basedOn w:val="PO3"/>
    <w:uiPriority w:val="37"/>
    <w:tblPr>
      <w:tblCellMar>
        <w:bottom w:type="dxa" w:w="0"/>
        <w:left w:type="dxa" w:w="108"/>
        <w:right w:type="dxa" w:w="108"/>
        <w:top w:type="dxa" w:w="0"/>
      </w:tblCellMar>
      <w:tblInd w:type="dxa" w:w="0"/>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Relationship Id="rId1" Type="http://schemas.openxmlformats.org/officeDocument/2006/relationships/webSettings" Target="webSettings.xml"></Relationship><Relationship Id="rId2" Type="http://schemas.openxmlformats.org/officeDocument/2006/relationships/fontTable" Target="fontTable.xml"></Relationship><Relationship Id="rId3" Type="http://schemas.openxmlformats.org/officeDocument/2006/relationships/settings" Target="settings.xml"></Relationship><Relationship Id="rId4" Type="http://schemas.openxmlformats.org/officeDocument/2006/relationships/styles" Target="styles.xml"></Relationship><Relationship Id="rId5" Type="http://schemas.openxmlformats.org/officeDocument/2006/relationships/theme" Target="theme/theme1.xml"></Relationshi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Application>JisuOffice Write</Application>
  <AppVersion>12.000</AppVersion>
  <Characters>0</Characters>
  <CharactersWithSpaces>0</CharactersWithSpaces>
  <DocSecurity>0</DocSecurity>
  <HyperlinksChanged>false</HyperlinksChanged>
  <Lines>0</Lines>
  <LinksUpToDate>false</LinksUpToDate>
  <Pages>5</Pages>
  <Paragraphs>0</Paragraphs>
  <Words>31</Words>
  <TotalTime>0</TotalTime>
  <MMClips>0</MMClips>
  <ScaleCrop>false</ScaleCrop>
  <HeadingPairs>
    <vt:vector size="2" baseType="variant">
      <vt:variant>
        <vt:lpstr>제목</vt:lpstr>
      </vt:variant>
      <vt:variant>
        <vt:i4>1</vt:i4>
      </vt:variant>
    </vt:vector>
  </HeadingPairs>
  <TitlesOfParts>
    <vt:vector size="1" baseType="lpstr">
      <vt:lpstr>Title text</vt:lpstr>
    </vt:vector>
  </TitlesOfParts>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ModifiedBy/>
</cp:coreProperties>
</file>