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48C6D">
      <w:pPr>
        <w:pStyle w:val="27"/>
        <w:ind w:firstLine="0" w:firstLineChars="0"/>
        <w:jc w:val="both"/>
        <w:rPr>
          <w:rFonts w:hint="eastAsia" w:ascii="仿宋_GB2312" w:hAnsi="仿宋_GB2312" w:eastAsia="仿宋_GB2312" w:cs="仿宋_GB2312"/>
          <w:sz w:val="32"/>
          <w:szCs w:val="32"/>
        </w:rPr>
      </w:pPr>
    </w:p>
    <w:p w14:paraId="6D376C97">
      <w:pPr>
        <w:pStyle w:val="27"/>
        <w:ind w:firstLine="0" w:firstLineChars="0"/>
        <w:jc w:val="both"/>
        <w:rPr>
          <w:rFonts w:hint="eastAsia" w:ascii="仿宋_GB2312" w:hAnsi="仿宋_GB2312" w:eastAsia="仿宋_GB2312" w:cs="仿宋_GB2312"/>
          <w:sz w:val="32"/>
          <w:szCs w:val="32"/>
        </w:rPr>
      </w:pPr>
    </w:p>
    <w:p w14:paraId="41D367BE">
      <w:pPr>
        <w:pStyle w:val="27"/>
        <w:ind w:firstLine="0" w:firstLineChars="0"/>
        <w:jc w:val="center"/>
        <w:rPr>
          <w:rFonts w:hint="eastAsia" w:ascii="仿宋_GB2312" w:hAnsi="仿宋_GB2312" w:eastAsia="仿宋_GB2312" w:cs="仿宋_GB2312"/>
          <w:sz w:val="32"/>
          <w:szCs w:val="32"/>
        </w:rPr>
      </w:pPr>
    </w:p>
    <w:p w14:paraId="5A59390B">
      <w:pPr>
        <w:pStyle w:val="27"/>
        <w:ind w:firstLine="0" w:firstLineChars="0"/>
        <w:jc w:val="center"/>
        <w:rPr>
          <w:rFonts w:hint="eastAsia" w:ascii="仿宋_GB2312" w:hAnsi="仿宋_GB2312" w:eastAsia="仿宋_GB2312" w:cs="仿宋_GB2312"/>
          <w:sz w:val="32"/>
          <w:szCs w:val="32"/>
        </w:rPr>
      </w:pPr>
    </w:p>
    <w:p w14:paraId="7D409772">
      <w:pPr>
        <w:pStyle w:val="27"/>
        <w:ind w:firstLine="0" w:firstLineChars="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国际注册管理咨询师全球统一鉴定</w:t>
      </w:r>
    </w:p>
    <w:p w14:paraId="27793208">
      <w:pPr>
        <w:pStyle w:val="27"/>
        <w:ind w:firstLine="0" w:firstLineChars="0"/>
        <w:jc w:val="center"/>
        <w:rPr>
          <w:rFonts w:hint="eastAsia" w:ascii="仿宋_GB2312" w:hAnsi="仿宋_GB2312" w:eastAsia="仿宋_GB2312" w:cs="仿宋_GB2312"/>
          <w:sz w:val="32"/>
          <w:szCs w:val="32"/>
        </w:rPr>
      </w:pPr>
    </w:p>
    <w:p w14:paraId="1333DDE5">
      <w:pPr>
        <w:pStyle w:val="27"/>
        <w:ind w:firstLine="0" w:firstLineChars="0"/>
        <w:jc w:val="center"/>
        <w:rPr>
          <w:rFonts w:hint="eastAsia" w:ascii="黑体" w:hAnsi="黑体" w:eastAsia="黑体"/>
          <w:sz w:val="32"/>
          <w:szCs w:val="32"/>
        </w:rPr>
      </w:pPr>
    </w:p>
    <w:p w14:paraId="3A2A6609">
      <w:pPr>
        <w:pStyle w:val="27"/>
        <w:spacing w:line="360" w:lineRule="auto"/>
        <w:ind w:firstLine="0" w:firstLineChars="0"/>
        <w:jc w:val="center"/>
        <w:rPr>
          <w:rFonts w:hint="eastAsia" w:ascii="黑体" w:hAnsi="黑体" w:eastAsia="黑体"/>
          <w:sz w:val="32"/>
          <w:szCs w:val="32"/>
        </w:rPr>
      </w:pPr>
      <w:r>
        <w:rPr>
          <w:rFonts w:hint="eastAsia" w:ascii="黑体" w:hAnsi="黑体" w:eastAsia="黑体"/>
          <w:sz w:val="44"/>
          <w:szCs w:val="44"/>
        </w:rPr>
        <w:t>资格评审论文</w:t>
      </w:r>
    </w:p>
    <w:p w14:paraId="661D0581">
      <w:pPr>
        <w:pStyle w:val="27"/>
        <w:ind w:firstLine="0" w:firstLineChars="0"/>
        <w:jc w:val="center"/>
        <w:rPr>
          <w:rFonts w:ascii="黑体" w:hAnsi="黑体" w:eastAsia="黑体"/>
          <w:sz w:val="32"/>
          <w:szCs w:val="32"/>
        </w:rPr>
      </w:pPr>
      <w:r>
        <w:rPr>
          <w:rFonts w:hint="eastAsia" w:ascii="黑体" w:hAnsi="黑体" w:eastAsia="黑体"/>
          <w:sz w:val="32"/>
          <w:szCs w:val="32"/>
        </w:rPr>
        <w:t>(CMC)</w:t>
      </w:r>
    </w:p>
    <w:p w14:paraId="24D80F23">
      <w:pPr>
        <w:pStyle w:val="27"/>
        <w:ind w:firstLine="0" w:firstLineChars="0"/>
        <w:jc w:val="center"/>
        <w:rPr>
          <w:rFonts w:hint="eastAsia" w:ascii="黑体" w:hAnsi="黑体" w:eastAsia="黑体"/>
          <w:sz w:val="32"/>
          <w:szCs w:val="32"/>
        </w:rPr>
      </w:pPr>
    </w:p>
    <w:p w14:paraId="7BACFEC4">
      <w:pPr>
        <w:pStyle w:val="27"/>
        <w:ind w:firstLine="0" w:firstLineChars="0"/>
        <w:jc w:val="center"/>
        <w:rPr>
          <w:rFonts w:hint="eastAsia" w:ascii="黑体" w:hAnsi="黑体" w:eastAsia="黑体"/>
          <w:sz w:val="32"/>
          <w:szCs w:val="32"/>
        </w:rPr>
      </w:pPr>
    </w:p>
    <w:p w14:paraId="501EBB6E">
      <w:pPr>
        <w:pStyle w:val="27"/>
        <w:ind w:firstLine="0" w:firstLineChars="0"/>
        <w:jc w:val="center"/>
        <w:rPr>
          <w:rFonts w:hint="eastAsia" w:ascii="黑体" w:hAnsi="黑体" w:eastAsia="黑体"/>
          <w:sz w:val="32"/>
          <w:szCs w:val="32"/>
        </w:rPr>
      </w:pPr>
    </w:p>
    <w:p w14:paraId="458180FF">
      <w:pPr>
        <w:pStyle w:val="27"/>
        <w:ind w:firstLine="0" w:firstLineChars="0"/>
        <w:jc w:val="center"/>
        <w:rPr>
          <w:rFonts w:hint="eastAsia" w:ascii="黑体" w:hAnsi="黑体" w:eastAsia="黑体"/>
          <w:sz w:val="32"/>
          <w:szCs w:val="32"/>
        </w:rPr>
      </w:pPr>
    </w:p>
    <w:p w14:paraId="52B94031">
      <w:pPr>
        <w:pStyle w:val="27"/>
        <w:ind w:firstLine="0" w:firstLineChars="0"/>
        <w:jc w:val="center"/>
        <w:rPr>
          <w:rFonts w:hint="eastAsia" w:ascii="黑体" w:hAnsi="黑体" w:eastAsia="黑体"/>
          <w:sz w:val="32"/>
          <w:szCs w:val="32"/>
        </w:rPr>
      </w:pPr>
    </w:p>
    <w:p w14:paraId="2A959054">
      <w:pPr>
        <w:pStyle w:val="27"/>
        <w:ind w:firstLine="0" w:firstLineChars="0"/>
        <w:jc w:val="center"/>
        <w:rPr>
          <w:rFonts w:ascii="宋体" w:hAnsi="宋体" w:eastAsia="宋体" w:cs="宋体"/>
          <w:sz w:val="28"/>
          <w:szCs w:val="28"/>
          <w:u w:val="single"/>
        </w:rPr>
      </w:pPr>
      <w:r>
        <w:rPr>
          <w:rFonts w:hint="eastAsia" w:ascii="宋体" w:hAnsi="宋体" w:eastAsia="宋体" w:cs="宋体"/>
          <w:sz w:val="28"/>
          <w:szCs w:val="28"/>
        </w:rPr>
        <w:t>论文题目：</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仿宋_GB2312" w:hAnsi="仿宋_GB2312" w:eastAsia="仿宋_GB2312" w:cs="仿宋_GB2312"/>
          <w:sz w:val="32"/>
          <w:szCs w:val="32"/>
          <w:u w:val="single"/>
          <w:lang w:val="en-US" w:eastAsia="zh-CN"/>
        </w:rPr>
        <w:t>浅析新纪元下新媒体驱动传统行业营销的问题及策略</w:t>
      </w:r>
      <w:r>
        <w:rPr>
          <w:rStyle w:val="19"/>
          <w:rFonts w:hint="eastAsia"/>
        </w:rPr>
        <w:t xml:space="preserve"> </w:t>
      </w:r>
    </w:p>
    <w:p w14:paraId="762A0210">
      <w:pPr>
        <w:pStyle w:val="27"/>
        <w:ind w:firstLine="0" w:firstLineChars="0"/>
        <w:jc w:val="center"/>
        <w:rPr>
          <w:rFonts w:hint="eastAsia" w:ascii="宋体" w:hAnsi="宋体" w:eastAsia="宋体" w:cs="宋体"/>
          <w:sz w:val="28"/>
          <w:szCs w:val="28"/>
          <w:u w:val="single"/>
        </w:rPr>
      </w:pPr>
    </w:p>
    <w:p w14:paraId="2A3690D2">
      <w:pPr>
        <w:pStyle w:val="27"/>
        <w:ind w:firstLine="0" w:firstLineChars="0"/>
        <w:jc w:val="center"/>
        <w:rPr>
          <w:rFonts w:hint="eastAsia" w:ascii="宋体" w:hAnsi="宋体" w:eastAsia="宋体" w:cs="宋体"/>
          <w:sz w:val="28"/>
          <w:szCs w:val="28"/>
          <w:u w:val="single"/>
        </w:rPr>
      </w:pPr>
    </w:p>
    <w:p w14:paraId="387A13A3">
      <w:pPr>
        <w:pStyle w:val="27"/>
        <w:ind w:firstLine="0" w:firstLineChars="0"/>
        <w:jc w:val="center"/>
        <w:rPr>
          <w:rFonts w:hint="eastAsia" w:ascii="宋体" w:hAnsi="宋体" w:eastAsia="宋体" w:cs="宋体"/>
          <w:sz w:val="28"/>
          <w:szCs w:val="28"/>
          <w:u w:val="single"/>
        </w:rPr>
      </w:pPr>
    </w:p>
    <w:p w14:paraId="0A86329F">
      <w:pPr>
        <w:pStyle w:val="27"/>
        <w:ind w:firstLine="0" w:firstLineChars="0"/>
        <w:jc w:val="center"/>
        <w:rPr>
          <w:rFonts w:hint="eastAsia" w:ascii="宋体" w:hAnsi="宋体" w:eastAsia="宋体" w:cs="宋体"/>
          <w:sz w:val="28"/>
          <w:szCs w:val="28"/>
          <w:u w:val="single"/>
        </w:rPr>
      </w:pPr>
    </w:p>
    <w:p w14:paraId="6AB71A85">
      <w:pPr>
        <w:pStyle w:val="27"/>
        <w:ind w:firstLine="0" w:firstLineChars="0"/>
        <w:jc w:val="center"/>
        <w:rPr>
          <w:rFonts w:hint="eastAsia" w:ascii="宋体" w:hAnsi="宋体" w:eastAsia="宋体" w:cs="宋体"/>
          <w:sz w:val="28"/>
          <w:szCs w:val="28"/>
          <w:u w:val="single"/>
        </w:rPr>
      </w:pPr>
    </w:p>
    <w:p w14:paraId="65C55677">
      <w:pPr>
        <w:pStyle w:val="27"/>
        <w:ind w:firstLine="0" w:firstLineChars="0"/>
        <w:jc w:val="center"/>
        <w:rPr>
          <w:rFonts w:hint="eastAsia" w:ascii="宋体" w:hAnsi="宋体" w:eastAsia="宋体" w:cs="宋体"/>
          <w:sz w:val="28"/>
          <w:szCs w:val="28"/>
          <w:u w:val="single"/>
        </w:rPr>
      </w:pPr>
    </w:p>
    <w:p w14:paraId="1936B0AE">
      <w:pPr>
        <w:pStyle w:val="27"/>
        <w:ind w:firstLine="0" w:firstLineChars="0"/>
        <w:jc w:val="center"/>
        <w:rPr>
          <w:rFonts w:hint="eastAsia" w:ascii="宋体" w:hAnsi="宋体" w:eastAsia="宋体" w:cs="宋体"/>
          <w:sz w:val="28"/>
          <w:szCs w:val="28"/>
          <w:u w:val="single"/>
        </w:rPr>
      </w:pPr>
    </w:p>
    <w:p w14:paraId="42B7B94D">
      <w:pPr>
        <w:pStyle w:val="27"/>
        <w:ind w:firstLine="0" w:firstLineChars="0"/>
        <w:jc w:val="center"/>
        <w:rPr>
          <w:rFonts w:hint="eastAsia" w:ascii="宋体" w:hAnsi="宋体" w:eastAsia="宋体" w:cs="宋体"/>
          <w:sz w:val="28"/>
          <w:szCs w:val="28"/>
          <w:u w:val="single"/>
        </w:rPr>
      </w:pPr>
    </w:p>
    <w:p w14:paraId="64BBD7F5">
      <w:pPr>
        <w:pStyle w:val="27"/>
        <w:ind w:firstLine="0" w:firstLineChars="0"/>
        <w:jc w:val="center"/>
        <w:rPr>
          <w:rFonts w:hint="eastAsia" w:ascii="宋体" w:hAnsi="宋体" w:eastAsia="宋体" w:cs="宋体"/>
          <w:sz w:val="28"/>
          <w:szCs w:val="28"/>
          <w:u w:val="single"/>
        </w:rPr>
      </w:pPr>
    </w:p>
    <w:p w14:paraId="47690B9D">
      <w:pPr>
        <w:pStyle w:val="27"/>
        <w:spacing w:line="360" w:lineRule="auto"/>
        <w:ind w:firstLine="1400" w:firstLineChars="500"/>
        <w:jc w:val="both"/>
        <w:rPr>
          <w:rFonts w:hint="default" w:ascii="宋体" w:hAnsi="宋体" w:eastAsia="宋体" w:cs="宋体"/>
          <w:sz w:val="28"/>
          <w:szCs w:val="28"/>
          <w:u w:val="single"/>
          <w:lang w:val="en-US" w:eastAsia="zh-CN"/>
        </w:rPr>
      </w:pPr>
      <w:r>
        <w:rPr>
          <w:rFonts w:hint="eastAsia" w:ascii="宋体" w:hAnsi="宋体" w:eastAsia="宋体" w:cs="宋体"/>
          <w:sz w:val="28"/>
          <w:szCs w:val="28"/>
        </w:rPr>
        <w:t>姓    名：</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杨槟滨     </w:t>
      </w:r>
      <w:r>
        <w:rPr>
          <w:rFonts w:hint="eastAsia" w:ascii="宋体" w:hAnsi="宋体" w:eastAsia="宋体" w:cs="宋体"/>
          <w:sz w:val="28"/>
          <w:szCs w:val="28"/>
          <w:u w:val="single"/>
        </w:rPr>
        <w:t xml:space="preserve">         </w:t>
      </w:r>
    </w:p>
    <w:p w14:paraId="48A1D477">
      <w:pPr>
        <w:pStyle w:val="27"/>
        <w:spacing w:line="360" w:lineRule="auto"/>
        <w:ind w:firstLine="0" w:firstLineChars="0"/>
        <w:jc w:val="center"/>
        <w:rPr>
          <w:rFonts w:ascii="宋体" w:hAnsi="宋体" w:eastAsia="宋体" w:cs="宋体"/>
          <w:sz w:val="28"/>
          <w:szCs w:val="28"/>
          <w:u w:val="single"/>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准考证号：</w:t>
      </w:r>
      <w:r>
        <w:rPr>
          <w:rFonts w:hint="eastAsia" w:ascii="宋体" w:hAnsi="宋体" w:eastAsia="宋体" w:cs="宋体"/>
          <w:sz w:val="28"/>
          <w:szCs w:val="28"/>
          <w:u w:val="single"/>
        </w:rPr>
        <w:t xml:space="preserve">                              </w:t>
      </w:r>
    </w:p>
    <w:p w14:paraId="2E145790">
      <w:pPr>
        <w:pStyle w:val="27"/>
        <w:spacing w:line="360" w:lineRule="auto"/>
        <w:ind w:firstLine="1400" w:firstLineChars="500"/>
        <w:jc w:val="both"/>
        <w:rPr>
          <w:rFonts w:hint="eastAsia" w:ascii="宋体" w:hAnsi="宋体" w:eastAsia="宋体" w:cs="宋体"/>
          <w:sz w:val="28"/>
          <w:szCs w:val="28"/>
          <w:u w:val="single"/>
        </w:rPr>
      </w:pPr>
      <w:r>
        <w:rPr>
          <w:rFonts w:hint="eastAsia" w:ascii="宋体" w:hAnsi="宋体" w:eastAsia="宋体" w:cs="宋体"/>
          <w:sz w:val="28"/>
          <w:szCs w:val="28"/>
        </w:rPr>
        <w:t>所在省市：</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吉林省长春市  </w:t>
      </w:r>
      <w:r>
        <w:rPr>
          <w:rFonts w:hint="eastAsia" w:ascii="宋体" w:hAnsi="宋体" w:eastAsia="宋体" w:cs="宋体"/>
          <w:sz w:val="28"/>
          <w:szCs w:val="28"/>
          <w:u w:val="single"/>
        </w:rPr>
        <w:t xml:space="preserve">      </w:t>
      </w:r>
    </w:p>
    <w:p w14:paraId="70A06019">
      <w:pPr>
        <w:pStyle w:val="27"/>
        <w:spacing w:line="360" w:lineRule="auto"/>
        <w:ind w:firstLine="1400" w:firstLineChars="500"/>
        <w:jc w:val="both"/>
        <w:rPr>
          <w:rFonts w:hint="default" w:ascii="宋体" w:hAnsi="宋体" w:eastAsia="宋体" w:cs="宋体"/>
          <w:sz w:val="28"/>
          <w:szCs w:val="28"/>
          <w:u w:val="single"/>
          <w:lang w:val="en-US" w:eastAsia="zh-CN"/>
        </w:rPr>
      </w:pPr>
      <w:r>
        <w:rPr>
          <w:rFonts w:hint="eastAsia" w:ascii="宋体" w:hAnsi="宋体" w:eastAsia="宋体" w:cs="宋体"/>
          <w:sz w:val="28"/>
          <w:szCs w:val="28"/>
        </w:rPr>
        <w:t>所在单位：</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吉林省国脉数字传媒有限公司    </w:t>
      </w:r>
    </w:p>
    <w:p w14:paraId="2EBC677E">
      <w:pPr>
        <w:pStyle w:val="27"/>
        <w:ind w:firstLine="0" w:firstLineChars="0"/>
        <w:jc w:val="center"/>
        <w:rPr>
          <w:rFonts w:hint="eastAsia" w:ascii="黑体" w:hAnsi="黑体" w:eastAsia="黑体"/>
          <w:sz w:val="32"/>
          <w:szCs w:val="32"/>
          <w:u w:val="single"/>
        </w:rPr>
      </w:pPr>
    </w:p>
    <w:p w14:paraId="31266EF9">
      <w:pPr>
        <w:pStyle w:val="27"/>
        <w:ind w:firstLine="0" w:firstLineChars="0"/>
        <w:jc w:val="center"/>
        <w:rPr>
          <w:rFonts w:hint="eastAsia" w:ascii="黑体" w:hAnsi="黑体" w:eastAsia="黑体"/>
          <w:sz w:val="32"/>
          <w:szCs w:val="32"/>
        </w:rPr>
      </w:pPr>
    </w:p>
    <w:p w14:paraId="1C19F475">
      <w:pPr>
        <w:pStyle w:val="27"/>
        <w:ind w:firstLine="0" w:firstLineChars="0"/>
        <w:jc w:val="center"/>
        <w:rPr>
          <w:rFonts w:hint="eastAsia" w:ascii="宋体" w:hAnsi="宋体" w:eastAsia="宋体" w:cs="宋体"/>
          <w:sz w:val="28"/>
          <w:szCs w:val="28"/>
        </w:rPr>
      </w:pPr>
      <w:r>
        <w:rPr>
          <w:rFonts w:hint="eastAsia" w:ascii="宋体" w:hAnsi="宋体" w:eastAsia="宋体" w:cs="宋体"/>
          <w:sz w:val="28"/>
          <w:szCs w:val="28"/>
        </w:rPr>
        <w:t>202</w:t>
      </w:r>
      <w:r>
        <w:rPr>
          <w:rFonts w:hint="eastAsia" w:ascii="宋体" w:hAnsi="宋体" w:eastAsia="宋体" w:cs="宋体"/>
          <w:sz w:val="28"/>
          <w:szCs w:val="28"/>
          <w:lang w:val="en-US" w:eastAsia="zh-CN"/>
        </w:rPr>
        <w:t>4</w:t>
      </w:r>
      <w:r>
        <w:rPr>
          <w:rFonts w:hint="eastAsia" w:ascii="宋体" w:hAnsi="宋体" w:eastAsia="宋体" w:cs="宋体"/>
          <w:sz w:val="28"/>
          <w:szCs w:val="28"/>
        </w:rPr>
        <w:t xml:space="preserve"> 年 </w:t>
      </w:r>
      <w:r>
        <w:rPr>
          <w:rFonts w:hint="eastAsia" w:ascii="宋体" w:hAnsi="宋体" w:eastAsia="宋体" w:cs="宋体"/>
          <w:sz w:val="28"/>
          <w:szCs w:val="28"/>
          <w:lang w:val="en-US" w:eastAsia="zh-CN"/>
        </w:rPr>
        <w:t>11</w:t>
      </w:r>
      <w:r>
        <w:rPr>
          <w:rFonts w:hint="eastAsia" w:ascii="宋体" w:hAnsi="宋体" w:eastAsia="宋体" w:cs="宋体"/>
          <w:sz w:val="28"/>
          <w:szCs w:val="28"/>
        </w:rPr>
        <w:t xml:space="preserve">月 </w:t>
      </w:r>
      <w:r>
        <w:rPr>
          <w:rFonts w:hint="eastAsia" w:ascii="宋体" w:hAnsi="宋体" w:eastAsia="宋体" w:cs="宋体"/>
          <w:sz w:val="28"/>
          <w:szCs w:val="28"/>
          <w:lang w:val="en-US" w:eastAsia="zh-CN"/>
        </w:rPr>
        <w:t>11</w:t>
      </w:r>
      <w:r>
        <w:rPr>
          <w:rFonts w:hint="eastAsia" w:ascii="宋体" w:hAnsi="宋体" w:eastAsia="宋体" w:cs="宋体"/>
          <w:sz w:val="28"/>
          <w:szCs w:val="28"/>
        </w:rPr>
        <w:t xml:space="preserve"> 日</w:t>
      </w:r>
    </w:p>
    <w:p w14:paraId="5A587E7E">
      <w:pPr>
        <w:pStyle w:val="27"/>
        <w:ind w:firstLine="0" w:firstLineChars="0"/>
        <w:jc w:val="center"/>
        <w:rPr>
          <w:rFonts w:hint="eastAsia" w:ascii="黑体" w:hAnsi="黑体" w:eastAsia="黑体"/>
          <w:sz w:val="32"/>
          <w:szCs w:val="32"/>
        </w:rPr>
        <w:sectPr>
          <w:pgSz w:w="11906" w:h="16838"/>
          <w:pgMar w:top="1440" w:right="1800" w:bottom="1440" w:left="1800" w:header="851" w:footer="992" w:gutter="0"/>
          <w:pgNumType w:fmt="numberInDash"/>
          <w:cols w:space="720" w:num="1"/>
          <w:docGrid w:type="lines" w:linePitch="312" w:charSpace="0"/>
        </w:sectPr>
      </w:pPr>
    </w:p>
    <w:p w14:paraId="08E42E8F">
      <w:pPr>
        <w:jc w:val="both"/>
        <w:rPr>
          <w:rStyle w:val="19"/>
        </w:rPr>
      </w:pPr>
    </w:p>
    <w:p w14:paraId="1FD32182">
      <w:pPr>
        <w:pStyle w:val="27"/>
        <w:ind w:firstLine="0" w:firstLineChars="0"/>
        <w:jc w:val="center"/>
        <w:outlineLvl w:val="0"/>
        <w:rPr>
          <w:rFonts w:hint="default" w:ascii="黑体" w:hAnsi="黑体" w:eastAsia="黑体" w:cs="Times New Roman"/>
          <w:sz w:val="32"/>
          <w:szCs w:val="32"/>
          <w:lang w:val="en-US" w:eastAsia="zh-CN"/>
        </w:rPr>
      </w:pPr>
      <w:bookmarkStart w:id="0" w:name="_Toc5592"/>
      <w:r>
        <w:rPr>
          <w:rFonts w:hint="eastAsia" w:ascii="黑体" w:hAnsi="黑体" w:eastAsia="黑体" w:cs="Times New Roman"/>
          <w:sz w:val="32"/>
          <w:szCs w:val="32"/>
          <w:lang w:val="en-US" w:eastAsia="zh-CN"/>
        </w:rPr>
        <w:t>浅析新纪元下新媒体驱动传统行业营销的问题及</w:t>
      </w:r>
      <w:bookmarkEnd w:id="0"/>
      <w:r>
        <w:rPr>
          <w:rFonts w:hint="eastAsia" w:ascii="黑体" w:hAnsi="黑体" w:eastAsia="黑体" w:cs="Times New Roman"/>
          <w:sz w:val="32"/>
          <w:szCs w:val="32"/>
          <w:lang w:val="en-US" w:eastAsia="zh-CN"/>
        </w:rPr>
        <w:t>策略</w:t>
      </w:r>
    </w:p>
    <w:p w14:paraId="5AC473E0">
      <w:pPr>
        <w:pStyle w:val="27"/>
        <w:ind w:firstLine="0" w:firstLineChars="0"/>
        <w:jc w:val="center"/>
        <w:rPr>
          <w:rFonts w:hint="eastAsia" w:ascii="黑体" w:hAnsi="黑体" w:eastAsia="黑体"/>
          <w:sz w:val="32"/>
          <w:szCs w:val="32"/>
        </w:rPr>
      </w:pPr>
    </w:p>
    <w:p w14:paraId="4A0EE9C2">
      <w:pPr>
        <w:pStyle w:val="27"/>
        <w:ind w:firstLine="0" w:firstLineChars="0"/>
        <w:jc w:val="center"/>
        <w:rPr>
          <w:rFonts w:hint="eastAsia" w:ascii="黑体" w:hAnsi="黑体" w:eastAsia="黑体"/>
          <w:color w:val="0000FF"/>
          <w:sz w:val="32"/>
          <w:szCs w:val="32"/>
          <w:lang w:val="en-US" w:eastAsia="zh-CN"/>
        </w:rPr>
      </w:pPr>
      <w:r>
        <w:rPr>
          <w:rFonts w:hint="eastAsia" w:ascii="黑体" w:hAnsi="黑体" w:eastAsia="黑体"/>
          <w:color w:val="0000FF"/>
          <w:sz w:val="32"/>
          <w:szCs w:val="32"/>
        </w:rPr>
        <w:t>作者：</w:t>
      </w:r>
      <w:r>
        <w:rPr>
          <w:rFonts w:hint="eastAsia" w:ascii="黑体" w:hAnsi="黑体" w:eastAsia="黑体"/>
          <w:color w:val="0000FF"/>
          <w:sz w:val="32"/>
          <w:szCs w:val="32"/>
          <w:lang w:val="en-US" w:eastAsia="zh-CN"/>
        </w:rPr>
        <w:t>杨槟滨</w:t>
      </w:r>
    </w:p>
    <w:p w14:paraId="223E5573">
      <w:pPr>
        <w:pStyle w:val="27"/>
        <w:ind w:firstLine="0" w:firstLineChars="0"/>
        <w:jc w:val="center"/>
        <w:rPr>
          <w:rFonts w:hint="eastAsia" w:ascii="黑体" w:hAnsi="黑体" w:eastAsia="黑体" w:cs="Times New Roman"/>
          <w:sz w:val="32"/>
          <w:szCs w:val="32"/>
        </w:rPr>
      </w:pPr>
    </w:p>
    <w:p w14:paraId="167E98E6">
      <w:pPr>
        <w:jc w:val="center"/>
        <w:outlineLvl w:val="0"/>
        <w:rPr>
          <w:rFonts w:hint="eastAsia" w:ascii="黑体" w:hAnsi="黑体" w:eastAsia="黑体" w:cs="Times New Roman"/>
          <w:kern w:val="2"/>
          <w:sz w:val="36"/>
          <w:szCs w:val="36"/>
          <w:lang w:val="en-US" w:eastAsia="zh-CN" w:bidi="ar-SA"/>
        </w:rPr>
      </w:pPr>
      <w:bookmarkStart w:id="1" w:name="_Toc8779"/>
      <w:bookmarkStart w:id="2" w:name="_Toc8955"/>
      <w:bookmarkStart w:id="3" w:name="_Toc12917"/>
      <w:bookmarkStart w:id="4" w:name="_Toc7308"/>
      <w:bookmarkStart w:id="5" w:name="_Toc19864"/>
      <w:r>
        <w:rPr>
          <w:rFonts w:hint="eastAsia" w:ascii="黑体" w:hAnsi="黑体" w:eastAsia="黑体" w:cs="Times New Roman"/>
          <w:kern w:val="2"/>
          <w:sz w:val="36"/>
          <w:szCs w:val="36"/>
          <w:lang w:val="en-US" w:eastAsia="zh-CN" w:bidi="ar-SA"/>
        </w:rPr>
        <w:t>摘要</w:t>
      </w:r>
      <w:bookmarkEnd w:id="1"/>
      <w:bookmarkEnd w:id="2"/>
      <w:bookmarkEnd w:id="3"/>
      <w:bookmarkEnd w:id="4"/>
      <w:bookmarkEnd w:id="5"/>
    </w:p>
    <w:p w14:paraId="32EAD8BE">
      <w:pPr>
        <w:jc w:val="center"/>
        <w:outlineLvl w:val="9"/>
        <w:rPr>
          <w:rFonts w:hint="eastAsia" w:ascii="黑体" w:hAnsi="黑体" w:eastAsia="黑体" w:cs="Times New Roman"/>
          <w:kern w:val="2"/>
          <w:sz w:val="36"/>
          <w:szCs w:val="36"/>
          <w:lang w:val="en-US" w:eastAsia="zh-CN" w:bidi="ar-SA"/>
        </w:rPr>
      </w:pPr>
    </w:p>
    <w:p w14:paraId="04AFE48E">
      <w:pPr>
        <w:spacing w:line="300" w:lineRule="auto"/>
        <w:ind w:firstLine="420" w:firstLineChars="0"/>
        <w:jc w:val="both"/>
        <w:rPr>
          <w:rFonts w:hint="eastAsia" w:ascii="Times New Roman" w:hAnsi="Times New Roman" w:eastAsia="楷体_GB2312" w:cs="Times New Roman"/>
          <w:kern w:val="2"/>
          <w:sz w:val="24"/>
          <w:szCs w:val="24"/>
          <w:lang w:val="en-US" w:eastAsia="zh-CN" w:bidi="ar-SA"/>
        </w:rPr>
      </w:pPr>
      <w:r>
        <w:rPr>
          <w:rFonts w:hint="eastAsia" w:ascii="Times New Roman" w:hAnsi="Times New Roman" w:eastAsia="楷体_GB2312" w:cs="Times New Roman"/>
          <w:kern w:val="2"/>
          <w:sz w:val="24"/>
          <w:szCs w:val="24"/>
          <w:lang w:val="en-US" w:eastAsia="zh-CN" w:bidi="ar-SA"/>
        </w:rPr>
        <w:t>在当今这个科技飞速发展的时代，新媒体如</w:t>
      </w:r>
      <w:r>
        <w:rPr>
          <w:rFonts w:hint="eastAsia" w:eastAsia="楷体_GB2312" w:cs="Times New Roman"/>
          <w:kern w:val="2"/>
          <w:sz w:val="24"/>
          <w:szCs w:val="24"/>
          <w:lang w:val="en-US" w:eastAsia="zh-CN" w:bidi="ar-SA"/>
        </w:rPr>
        <w:t>同</w:t>
      </w:r>
      <w:r>
        <w:rPr>
          <w:rFonts w:hint="eastAsia" w:ascii="Times New Roman" w:hAnsi="Times New Roman" w:eastAsia="楷体_GB2312" w:cs="Times New Roman"/>
          <w:kern w:val="2"/>
          <w:sz w:val="24"/>
          <w:szCs w:val="24"/>
          <w:lang w:val="en-US" w:eastAsia="zh-CN" w:bidi="ar-SA"/>
        </w:rPr>
        <w:t>雨后春笋般蓬勃兴起，以其丰富多样的</w:t>
      </w:r>
      <w:r>
        <w:rPr>
          <w:rFonts w:hint="eastAsia" w:eastAsia="楷体_GB2312" w:cs="Times New Roman"/>
          <w:kern w:val="2"/>
          <w:sz w:val="24"/>
          <w:szCs w:val="24"/>
          <w:lang w:val="en-US" w:eastAsia="zh-CN" w:bidi="ar-SA"/>
        </w:rPr>
        <w:t>展现</w:t>
      </w:r>
      <w:r>
        <w:rPr>
          <w:rFonts w:hint="eastAsia" w:ascii="Times New Roman" w:hAnsi="Times New Roman" w:eastAsia="楷体_GB2312" w:cs="Times New Roman"/>
          <w:kern w:val="2"/>
          <w:sz w:val="24"/>
          <w:szCs w:val="24"/>
          <w:lang w:val="en-US" w:eastAsia="zh-CN" w:bidi="ar-SA"/>
        </w:rPr>
        <w:t>形式、不断创新</w:t>
      </w:r>
      <w:r>
        <w:rPr>
          <w:rFonts w:hint="eastAsia" w:eastAsia="楷体_GB2312" w:cs="Times New Roman"/>
          <w:kern w:val="2"/>
          <w:sz w:val="24"/>
          <w:szCs w:val="24"/>
          <w:lang w:val="en-US" w:eastAsia="zh-CN" w:bidi="ar-SA"/>
        </w:rPr>
        <w:t>及去中心化</w:t>
      </w:r>
      <w:r>
        <w:rPr>
          <w:rFonts w:hint="eastAsia" w:ascii="Times New Roman" w:hAnsi="Times New Roman" w:eastAsia="楷体_GB2312" w:cs="Times New Roman"/>
          <w:kern w:val="2"/>
          <w:sz w:val="24"/>
          <w:szCs w:val="24"/>
          <w:lang w:val="en-US" w:eastAsia="zh-CN" w:bidi="ar-SA"/>
        </w:rPr>
        <w:t>的</w:t>
      </w:r>
      <w:r>
        <w:rPr>
          <w:rFonts w:hint="eastAsia" w:eastAsia="楷体_GB2312" w:cs="Times New Roman"/>
          <w:kern w:val="2"/>
          <w:sz w:val="24"/>
          <w:szCs w:val="24"/>
          <w:lang w:val="en-US" w:eastAsia="zh-CN" w:bidi="ar-SA"/>
        </w:rPr>
        <w:t>运营</w:t>
      </w:r>
      <w:r>
        <w:rPr>
          <w:rFonts w:hint="eastAsia" w:ascii="Times New Roman" w:hAnsi="Times New Roman" w:eastAsia="楷体_GB2312" w:cs="Times New Roman"/>
          <w:kern w:val="2"/>
          <w:sz w:val="24"/>
          <w:szCs w:val="24"/>
          <w:lang w:val="en-US" w:eastAsia="zh-CN" w:bidi="ar-SA"/>
        </w:rPr>
        <w:t>理念以及与受众之间紧密的互动性，对传统营销模式产生了深刻而广泛的影响，掀起了一场营销领域的变革浪潮。</w:t>
      </w:r>
    </w:p>
    <w:p w14:paraId="3C053645">
      <w:pPr>
        <w:spacing w:line="300" w:lineRule="auto"/>
        <w:jc w:val="both"/>
        <w:rPr>
          <w:rFonts w:hint="eastAsia" w:ascii="Times New Roman" w:hAnsi="Times New Roman" w:eastAsia="楷体_GB2312" w:cs="Times New Roman"/>
          <w:kern w:val="2"/>
          <w:sz w:val="24"/>
          <w:szCs w:val="24"/>
          <w:lang w:val="en-US" w:eastAsia="zh-CN" w:bidi="ar-SA"/>
        </w:rPr>
      </w:pPr>
      <w:r>
        <w:rPr>
          <w:rFonts w:hint="eastAsia" w:ascii="Times New Roman" w:hAnsi="Times New Roman" w:eastAsia="楷体_GB2312" w:cs="Times New Roman"/>
          <w:kern w:val="2"/>
          <w:sz w:val="24"/>
          <w:szCs w:val="24"/>
          <w:lang w:val="en-US" w:eastAsia="zh-CN" w:bidi="ar-SA"/>
        </w:rPr>
        <w:t xml:space="preserve"> </w:t>
      </w:r>
      <w:r>
        <w:rPr>
          <w:rFonts w:hint="eastAsia" w:eastAsia="楷体_GB2312" w:cs="Times New Roman"/>
          <w:kern w:val="2"/>
          <w:sz w:val="24"/>
          <w:szCs w:val="24"/>
          <w:lang w:val="en-US" w:eastAsia="zh-CN" w:bidi="ar-SA"/>
        </w:rPr>
        <w:tab/>
      </w:r>
      <w:r>
        <w:rPr>
          <w:rFonts w:hint="eastAsia" w:ascii="Times New Roman" w:hAnsi="Times New Roman" w:eastAsia="楷体_GB2312" w:cs="Times New Roman"/>
          <w:kern w:val="2"/>
          <w:sz w:val="24"/>
          <w:szCs w:val="24"/>
          <w:lang w:val="en-US" w:eastAsia="zh-CN" w:bidi="ar-SA"/>
        </w:rPr>
        <w:t>传统行业在利用新媒体进行营销时，面临着诸多纷繁复杂的挑战。一方面，专业人才的匮乏成为了企业在新媒体领域探索的瓶颈，缺乏既懂传统行业又深谙新媒体之道的复合型人才；另一方面，观念的滞后使得企业难以迅速适应新媒体环境下的市场变化，无法及时调整营销策略；此外，与新媒体融合的不顺畅也导致企业在营销过程中处处受限，难以充分发挥新媒体的优势。为了有效应对这些难题，本文提出了一系列精准而富有前瞻性的策略，包括加大人才培养与引进的力度，打造一支具备新媒体思维和专业技能的精锐队伍，为企业注入创新的活力；积极推动传统行业更新营销观念，以消费者为中心，构建与时俱进的营销模式，更好地满足消费者的需求；通过整合各类新媒体资源，实现资源的优化配置与协同发展，提升营销的效果和影响力，</w:t>
      </w:r>
      <w:r>
        <w:rPr>
          <w:rFonts w:hint="eastAsia" w:eastAsia="楷体_GB2312" w:cs="Times New Roman"/>
          <w:kern w:val="2"/>
          <w:sz w:val="24"/>
          <w:szCs w:val="24"/>
          <w:lang w:val="en-US" w:eastAsia="zh-CN" w:bidi="ar-SA"/>
        </w:rPr>
        <w:t>传统行业的营销转型，会</w:t>
      </w:r>
      <w:r>
        <w:rPr>
          <w:rFonts w:hint="eastAsia" w:ascii="Times New Roman" w:hAnsi="Times New Roman" w:eastAsia="楷体_GB2312" w:cs="Times New Roman"/>
          <w:kern w:val="2"/>
          <w:sz w:val="24"/>
          <w:szCs w:val="24"/>
          <w:lang w:val="en-US" w:eastAsia="zh-CN" w:bidi="ar-SA"/>
        </w:rPr>
        <w:t>让企业在新媒体的舞台上绽放光彩。</w:t>
      </w:r>
    </w:p>
    <w:p w14:paraId="52C8DED5">
      <w:pPr>
        <w:spacing w:line="300" w:lineRule="auto"/>
        <w:jc w:val="both"/>
        <w:rPr>
          <w:rFonts w:hint="eastAsia" w:ascii="Times New Roman" w:hAnsi="Times New Roman" w:eastAsia="楷体_GB2312" w:cs="Times New Roman"/>
          <w:kern w:val="2"/>
          <w:sz w:val="24"/>
          <w:szCs w:val="24"/>
          <w:lang w:val="en-US" w:eastAsia="zh-CN" w:bidi="ar-SA"/>
        </w:rPr>
      </w:pPr>
      <w:r>
        <w:rPr>
          <w:rFonts w:hint="eastAsia" w:ascii="Times New Roman" w:hAnsi="Times New Roman" w:eastAsia="楷体_GB2312" w:cs="Times New Roman"/>
          <w:kern w:val="2"/>
          <w:sz w:val="24"/>
          <w:szCs w:val="24"/>
          <w:lang w:val="en-US" w:eastAsia="zh-CN" w:bidi="ar-SA"/>
        </w:rPr>
        <w:t xml:space="preserve">  </w:t>
      </w:r>
      <w:r>
        <w:rPr>
          <w:rFonts w:hint="eastAsia" w:eastAsia="楷体_GB2312" w:cs="Times New Roman"/>
          <w:kern w:val="2"/>
          <w:sz w:val="24"/>
          <w:szCs w:val="24"/>
          <w:lang w:val="en-US" w:eastAsia="zh-CN" w:bidi="ar-SA"/>
        </w:rPr>
        <w:tab/>
      </w:r>
      <w:r>
        <w:rPr>
          <w:rFonts w:hint="eastAsia" w:ascii="Times New Roman" w:hAnsi="Times New Roman" w:eastAsia="楷体_GB2312" w:cs="Times New Roman"/>
          <w:kern w:val="2"/>
          <w:sz w:val="24"/>
          <w:szCs w:val="24"/>
          <w:lang w:val="en-US" w:eastAsia="zh-CN" w:bidi="ar-SA"/>
        </w:rPr>
        <w:t>本文的研究成果对于传统行业在新媒体时代的营销实践具有重要的指导意义和应用价值。它为传统行业提供了清晰的思路和可行的路径，帮助他们在新媒体的浪潮中找准定位，实现营销的创新与突破，进而推动传统行业的转型升级和持续发展，为经济社会的进步做出积极贡献。在未来的发展道路上，我们坚信新媒体将继续与传统行业深度融合，共同开创更加美好的明天，传统行业也将在新媒体的助力下，焕发出新的生机与活力，实现更高质量的发展。让我们拭目以待传统行业在新媒体驱动下的辉煌绽放，共同见证这一激动人心的历史时刻！</w:t>
      </w:r>
    </w:p>
    <w:p w14:paraId="128719BA">
      <w:pPr>
        <w:spacing w:line="300" w:lineRule="auto"/>
        <w:jc w:val="both"/>
        <w:rPr>
          <w:rFonts w:hint="eastAsia" w:ascii="Times New Roman" w:hAnsi="Times New Roman" w:eastAsia="楷体_GB2312" w:cs="Times New Roman"/>
          <w:kern w:val="2"/>
          <w:sz w:val="24"/>
          <w:szCs w:val="24"/>
          <w:lang w:val="en-US" w:eastAsia="zh-CN" w:bidi="ar-SA"/>
        </w:rPr>
      </w:pPr>
    </w:p>
    <w:p w14:paraId="1F3DF4E5">
      <w:pPr>
        <w:spacing w:line="300" w:lineRule="auto"/>
        <w:jc w:val="both"/>
        <w:rPr>
          <w:rFonts w:hint="eastAsia" w:ascii="Times New Roman" w:hAnsi="Times New Roman" w:eastAsia="楷体_GB2312" w:cs="Times New Roman"/>
          <w:kern w:val="2"/>
          <w:sz w:val="24"/>
          <w:szCs w:val="24"/>
          <w:lang w:val="en-US" w:eastAsia="zh-CN" w:bidi="ar-SA"/>
        </w:rPr>
      </w:pPr>
      <w:r>
        <w:rPr>
          <w:rFonts w:hint="eastAsia" w:ascii="黑体" w:hAnsi="黑体" w:eastAsia="黑体" w:cs="Times New Roman"/>
          <w:kern w:val="2"/>
          <w:sz w:val="24"/>
          <w:szCs w:val="24"/>
          <w:lang w:val="en-US" w:eastAsia="zh-CN" w:bidi="ar-SA"/>
        </w:rPr>
        <w:t>关键词:</w:t>
      </w:r>
      <w:r>
        <w:rPr>
          <w:rFonts w:hint="eastAsia" w:eastAsia="楷体_GB2312" w:cs="Times New Roman"/>
          <w:kern w:val="2"/>
          <w:sz w:val="24"/>
          <w:szCs w:val="24"/>
          <w:lang w:val="en-US" w:eastAsia="zh-CN" w:bidi="ar-SA"/>
        </w:rPr>
        <w:t>新媒体思维</w:t>
      </w:r>
      <w:r>
        <w:rPr>
          <w:rFonts w:hint="eastAsia" w:ascii="Times New Roman" w:hAnsi="Times New Roman" w:eastAsia="楷体_GB2312" w:cs="Times New Roman"/>
          <w:kern w:val="2"/>
          <w:sz w:val="24"/>
          <w:szCs w:val="24"/>
          <w:lang w:val="en-US" w:eastAsia="zh-CN" w:bidi="ar-SA"/>
        </w:rPr>
        <w:t>；</w:t>
      </w:r>
      <w:r>
        <w:rPr>
          <w:rFonts w:hint="eastAsia" w:eastAsia="楷体_GB2312" w:cs="Times New Roman"/>
          <w:kern w:val="2"/>
          <w:sz w:val="24"/>
          <w:szCs w:val="24"/>
          <w:lang w:val="en-US" w:eastAsia="zh-CN" w:bidi="ar-SA"/>
        </w:rPr>
        <w:t>找准定位；去中心化</w:t>
      </w:r>
      <w:r>
        <w:rPr>
          <w:rFonts w:hint="eastAsia" w:ascii="Times New Roman" w:hAnsi="Times New Roman" w:eastAsia="楷体_GB2312" w:cs="Times New Roman"/>
          <w:kern w:val="2"/>
          <w:sz w:val="24"/>
          <w:szCs w:val="24"/>
          <w:lang w:val="en-US" w:eastAsia="zh-CN" w:bidi="ar-SA"/>
        </w:rPr>
        <w:t>；</w:t>
      </w:r>
      <w:r>
        <w:rPr>
          <w:rFonts w:hint="eastAsia" w:eastAsia="楷体_GB2312" w:cs="Times New Roman"/>
          <w:kern w:val="2"/>
          <w:sz w:val="24"/>
          <w:szCs w:val="24"/>
          <w:lang w:val="en-US" w:eastAsia="zh-CN" w:bidi="ar-SA"/>
        </w:rPr>
        <w:t>领域探索</w:t>
      </w:r>
      <w:r>
        <w:rPr>
          <w:rFonts w:hint="eastAsia" w:ascii="Times New Roman" w:hAnsi="Times New Roman" w:eastAsia="楷体_GB2312" w:cs="Times New Roman"/>
          <w:kern w:val="2"/>
          <w:sz w:val="24"/>
          <w:szCs w:val="24"/>
          <w:lang w:val="en-US" w:eastAsia="zh-CN" w:bidi="ar-SA"/>
        </w:rPr>
        <w:t>；</w:t>
      </w:r>
      <w:r>
        <w:rPr>
          <w:rFonts w:hint="eastAsia" w:eastAsia="楷体_GB2312" w:cs="Times New Roman"/>
          <w:kern w:val="2"/>
          <w:sz w:val="24"/>
          <w:szCs w:val="24"/>
          <w:lang w:val="en-US" w:eastAsia="zh-CN" w:bidi="ar-SA"/>
        </w:rPr>
        <w:t>营销模式</w:t>
      </w:r>
      <w:r>
        <w:rPr>
          <w:rFonts w:hint="eastAsia" w:ascii="Times New Roman" w:hAnsi="Times New Roman" w:eastAsia="楷体_GB2312" w:cs="Times New Roman"/>
          <w:kern w:val="2"/>
          <w:sz w:val="24"/>
          <w:szCs w:val="24"/>
          <w:lang w:val="en-US" w:eastAsia="zh-CN" w:bidi="ar-SA"/>
        </w:rPr>
        <w:t>；</w:t>
      </w:r>
      <w:r>
        <w:rPr>
          <w:rFonts w:hint="eastAsia" w:eastAsia="楷体_GB2312" w:cs="Times New Roman"/>
          <w:kern w:val="2"/>
          <w:sz w:val="24"/>
          <w:szCs w:val="24"/>
          <w:lang w:val="en-US" w:eastAsia="zh-CN" w:bidi="ar-SA"/>
        </w:rPr>
        <w:t>营销转型</w:t>
      </w:r>
      <w:r>
        <w:rPr>
          <w:rFonts w:hint="eastAsia" w:ascii="Times New Roman" w:hAnsi="Times New Roman" w:eastAsia="楷体_GB2312" w:cs="Times New Roman"/>
          <w:kern w:val="2"/>
          <w:sz w:val="24"/>
          <w:szCs w:val="24"/>
          <w:lang w:val="en-US" w:eastAsia="zh-CN" w:bidi="ar-SA"/>
        </w:rPr>
        <w:t>；</w:t>
      </w:r>
    </w:p>
    <w:p w14:paraId="4F410FBA">
      <w:pPr>
        <w:pStyle w:val="21"/>
        <w:spacing w:after="480"/>
        <w:rPr>
          <w:rFonts w:hint="eastAsia"/>
          <w:sz w:val="36"/>
          <w:szCs w:val="36"/>
        </w:rPr>
      </w:pPr>
    </w:p>
    <w:p w14:paraId="04A3BBF7">
      <w:pPr>
        <w:pStyle w:val="21"/>
        <w:spacing w:after="480"/>
        <w:rPr>
          <w:rFonts w:hint="eastAsia"/>
          <w:sz w:val="36"/>
          <w:szCs w:val="36"/>
        </w:rPr>
      </w:pPr>
    </w:p>
    <w:p w14:paraId="29DA653D">
      <w:pPr>
        <w:pStyle w:val="21"/>
        <w:spacing w:after="480"/>
        <w:rPr>
          <w:rFonts w:hint="eastAsia"/>
          <w:sz w:val="36"/>
          <w:szCs w:val="36"/>
        </w:rPr>
      </w:pPr>
    </w:p>
    <w:p w14:paraId="07F801E3">
      <w:pPr>
        <w:pStyle w:val="21"/>
        <w:spacing w:after="480"/>
        <w:rPr>
          <w:rFonts w:hint="eastAsia"/>
          <w:sz w:val="36"/>
          <w:szCs w:val="36"/>
        </w:rPr>
      </w:pPr>
    </w:p>
    <w:p w14:paraId="05096F6E">
      <w:pPr>
        <w:widowControl w:val="0"/>
        <w:autoSpaceDE w:val="0"/>
        <w:autoSpaceDN w:val="0"/>
        <w:adjustRightInd w:val="0"/>
        <w:spacing w:line="400" w:lineRule="exact"/>
        <w:jc w:val="center"/>
        <w:rPr>
          <w:rFonts w:hint="eastAsia" w:ascii="Times New Roman" w:hAnsi="Times New Roman" w:eastAsia="宋体" w:cs="Times New Roman"/>
          <w:b/>
          <w:kern w:val="0"/>
          <w:sz w:val="28"/>
          <w:szCs w:val="28"/>
        </w:rPr>
      </w:pPr>
      <w:r>
        <w:rPr>
          <w:rFonts w:hint="eastAsia" w:ascii="Times New Roman" w:hAnsi="Times New Roman" w:eastAsia="宋体" w:cs="Times New Roman"/>
          <w:b/>
          <w:kern w:val="0"/>
          <w:sz w:val="28"/>
          <w:szCs w:val="28"/>
        </w:rPr>
        <w:t>Analysis of the Problems and Strategies of New Media Driving Traditional Industry Marketing in the New Era</w:t>
      </w:r>
    </w:p>
    <w:p w14:paraId="722BA826">
      <w:pPr>
        <w:widowControl w:val="0"/>
        <w:autoSpaceDE w:val="0"/>
        <w:autoSpaceDN w:val="0"/>
        <w:adjustRightInd w:val="0"/>
        <w:spacing w:line="400" w:lineRule="exact"/>
        <w:jc w:val="center"/>
        <w:rPr>
          <w:rFonts w:hint="eastAsia" w:ascii="Times New Roman" w:hAnsi="Times New Roman" w:eastAsia="宋体" w:cs="Times New Roman"/>
          <w:b/>
          <w:kern w:val="0"/>
          <w:sz w:val="28"/>
          <w:szCs w:val="28"/>
        </w:rPr>
      </w:pPr>
      <w:r>
        <w:rPr>
          <w:rFonts w:hint="eastAsia" w:ascii="Times New Roman" w:hAnsi="Times New Roman" w:eastAsia="宋体" w:cs="Times New Roman"/>
          <w:b/>
          <w:kern w:val="0"/>
          <w:sz w:val="28"/>
          <w:szCs w:val="28"/>
        </w:rPr>
        <w:t>Author: Yang Binbin</w:t>
      </w:r>
    </w:p>
    <w:p w14:paraId="03AACD5A">
      <w:pPr>
        <w:widowControl w:val="0"/>
        <w:autoSpaceDE w:val="0"/>
        <w:autoSpaceDN w:val="0"/>
        <w:adjustRightInd w:val="0"/>
        <w:spacing w:line="400" w:lineRule="exact"/>
        <w:jc w:val="center"/>
        <w:rPr>
          <w:rFonts w:hint="eastAsia" w:ascii="Times New Roman" w:hAnsi="Times New Roman" w:eastAsia="宋体" w:cs="Times New Roman"/>
          <w:b/>
          <w:kern w:val="0"/>
          <w:sz w:val="28"/>
          <w:szCs w:val="28"/>
        </w:rPr>
      </w:pPr>
      <w:r>
        <w:rPr>
          <w:rFonts w:hint="eastAsia" w:ascii="Times New Roman" w:hAnsi="Times New Roman" w:eastAsia="宋体" w:cs="Times New Roman"/>
          <w:b/>
          <w:kern w:val="0"/>
          <w:sz w:val="28"/>
          <w:szCs w:val="28"/>
        </w:rPr>
        <w:t>Abstract</w:t>
      </w:r>
    </w:p>
    <w:p w14:paraId="527F7C36">
      <w:pPr>
        <w:pStyle w:val="21"/>
        <w:spacing w:after="480"/>
        <w:ind w:firstLine="420" w:firstLineChars="0"/>
        <w:jc w:val="both"/>
        <w:rPr>
          <w:rFonts w:hint="eastAsia" w:ascii="Times New Roman" w:hAnsi="Times New Roman" w:eastAsia="Times New Roman" w:cs="Times New Roman"/>
          <w:b/>
          <w:kern w:val="2"/>
          <w:sz w:val="24"/>
          <w:szCs w:val="24"/>
          <w:lang w:val="en-US" w:eastAsia="zh-CN" w:bidi="ar-SA"/>
        </w:rPr>
      </w:pPr>
      <w:r>
        <w:rPr>
          <w:rFonts w:hint="eastAsia" w:ascii="Times New Roman" w:hAnsi="Times New Roman" w:eastAsia="Times New Roman" w:cs="Times New Roman"/>
          <w:b/>
          <w:kern w:val="2"/>
          <w:sz w:val="24"/>
          <w:szCs w:val="24"/>
          <w:lang w:val="en-US" w:eastAsia="zh-CN" w:bidi="ar-SA"/>
        </w:rPr>
        <w:t>In today's era of rapid technological development, new media have sprung up vigorously, with its rich and diverse forms of presentation, continuous innovation and decentralized operation concepts, as well as close interaction with the audience, having a profound and extensive impact on traditional marketing models, setting off a wave of change in the marketing field.</w:t>
      </w:r>
    </w:p>
    <w:p w14:paraId="187244FA">
      <w:pPr>
        <w:pStyle w:val="21"/>
        <w:spacing w:after="480"/>
        <w:ind w:firstLine="420" w:firstLineChars="0"/>
        <w:jc w:val="both"/>
        <w:rPr>
          <w:rFonts w:hint="eastAsia" w:ascii="Times New Roman" w:hAnsi="Times New Roman" w:eastAsia="Times New Roman" w:cs="Times New Roman"/>
          <w:b/>
          <w:kern w:val="2"/>
          <w:sz w:val="24"/>
          <w:szCs w:val="24"/>
          <w:lang w:val="en-US" w:eastAsia="zh-CN" w:bidi="ar-SA"/>
        </w:rPr>
      </w:pPr>
      <w:r>
        <w:rPr>
          <w:rFonts w:hint="eastAsia" w:ascii="Times New Roman" w:hAnsi="Times New Roman" w:eastAsia="Times New Roman" w:cs="Times New Roman"/>
          <w:b/>
          <w:kern w:val="2"/>
          <w:sz w:val="24"/>
          <w:szCs w:val="24"/>
          <w:lang w:val="en-US" w:eastAsia="zh-CN" w:bidi="ar-SA"/>
        </w:rPr>
        <w:t>When traditional industries use new media for marketing, they face many complex challenges. On the one hand, the lack of professionals has become a bottleneck for enterprises in exploring the field of new media, lacking compound talents who understand both traditional industries and the ways of new media; on the other hand, the lag of concepts makes it difficult for enterprises to quickly adapt to market changes in the new media environment and unable to adjust marketing strategies in time; in addition, the unsmooth integration with new media also leads to restrictions in the marketing process of enterprises, making it difficult to give full play to the advantages of new media. In order to effectively deal with these problems, this paper proposes a series of precise and forward-looking strategies, including increasing the intensity of talent cultivation and introduction, building an elite team with new media thinking and professional skills, injecting innovative vitality into enterprises; actively promoting traditional industries to update marketing concepts, taking consumers as the center, and building a marketing model that keeps pace with the times to better meet the needs of consumers; through the integration of various new media resources, realizing the optimal allocation and coordinated development of resources, enhancing the effect and influence of marketing, the marketing transformation of traditional industries will make enterprises shine on the stage of new media.</w:t>
      </w:r>
    </w:p>
    <w:p w14:paraId="4A8DFC41">
      <w:pPr>
        <w:widowControl w:val="0"/>
        <w:autoSpaceDE w:val="0"/>
        <w:autoSpaceDN w:val="0"/>
        <w:adjustRightInd w:val="0"/>
        <w:spacing w:line="400" w:lineRule="exact"/>
        <w:ind w:firstLine="480" w:firstLineChars="200"/>
        <w:jc w:val="both"/>
        <w:rPr>
          <w:rFonts w:hint="eastAsia" w:ascii="Times New Roman" w:hAnsi="Times New Roman" w:eastAsia="Times New Roman" w:cs="Times New Roman"/>
          <w:b/>
          <w:kern w:val="2"/>
          <w:sz w:val="24"/>
          <w:szCs w:val="24"/>
          <w:lang w:val="en-US" w:eastAsia="zh-CN" w:bidi="ar-SA"/>
        </w:rPr>
      </w:pPr>
      <w:r>
        <w:rPr>
          <w:rFonts w:hint="eastAsia" w:ascii="Times New Roman" w:hAnsi="Times New Roman" w:eastAsia="Times New Roman" w:cs="Times New Roman"/>
          <w:b/>
          <w:kern w:val="2"/>
          <w:sz w:val="24"/>
          <w:szCs w:val="24"/>
          <w:lang w:val="en-US" w:eastAsia="zh-CN" w:bidi="ar-SA"/>
        </w:rPr>
        <w:t xml:space="preserve"> The research results of this paper have important guiding significance and application value for the marketing practice of traditional industries in the new media era. It provides clear ideas and feasible paths for traditional industries, helping them find the right position in the wave of new media, achieve innovation and breakthroughs in marketing, and then promote the transformation and upgrading of traditional industries and sustainable development, making positive contributions to the progress of the economy and society. In the future development path, we firmly believe that new media will continue to deeply integrate with traditional industries, jointly creating a brighter tomorrow, and traditional industries will also radiate new vitality and achieve higher-quality development with the help of new media. Let's wait and see the brilliant bloom of traditional industries driven by new media and witness this exciting historical moment together!</w:t>
      </w:r>
    </w:p>
    <w:p w14:paraId="577014C5">
      <w:pPr>
        <w:widowControl w:val="0"/>
        <w:autoSpaceDE w:val="0"/>
        <w:autoSpaceDN w:val="0"/>
        <w:adjustRightInd w:val="0"/>
        <w:spacing w:line="400" w:lineRule="exact"/>
        <w:ind w:firstLine="480" w:firstLineChars="200"/>
        <w:jc w:val="both"/>
        <w:rPr>
          <w:rFonts w:hint="eastAsia" w:ascii="Times New Roman" w:hAnsi="Times New Roman" w:eastAsia="Times New Roman" w:cs="Times New Roman"/>
          <w:b w:val="0"/>
          <w:bCs/>
          <w:kern w:val="2"/>
          <w:sz w:val="24"/>
          <w:szCs w:val="24"/>
          <w:lang w:val="en-US" w:eastAsia="zh-CN" w:bidi="ar-SA"/>
        </w:rPr>
      </w:pPr>
      <w:r>
        <w:rPr>
          <w:rFonts w:hint="eastAsia" w:ascii="Times New Roman" w:hAnsi="Times New Roman" w:eastAsia="Times New Roman" w:cs="Times New Roman"/>
          <w:b/>
          <w:kern w:val="2"/>
          <w:sz w:val="24"/>
          <w:szCs w:val="24"/>
          <w:lang w:val="en-US" w:eastAsia="zh-CN" w:bidi="ar-SA"/>
        </w:rPr>
        <w:t xml:space="preserve">Keywords: </w:t>
      </w:r>
      <w:r>
        <w:rPr>
          <w:rFonts w:hint="eastAsia" w:ascii="Times New Roman" w:hAnsi="Times New Roman" w:eastAsia="Times New Roman" w:cs="Times New Roman"/>
          <w:b w:val="0"/>
          <w:bCs/>
          <w:kern w:val="2"/>
          <w:sz w:val="24"/>
          <w:szCs w:val="24"/>
          <w:lang w:val="en-US" w:eastAsia="zh-CN" w:bidi="ar-SA"/>
        </w:rPr>
        <w:t>New media thinking; Find the right position; Decentralization; Field exploration; Marketing model; Marketing transformation;</w:t>
      </w:r>
    </w:p>
    <w:p w14:paraId="7D7A656E">
      <w:pPr>
        <w:pStyle w:val="21"/>
        <w:spacing w:after="480"/>
        <w:rPr>
          <w:rFonts w:hint="eastAsia"/>
          <w:b w:val="0"/>
          <w:bCs/>
          <w:sz w:val="36"/>
          <w:szCs w:val="36"/>
        </w:rPr>
      </w:pPr>
    </w:p>
    <w:p w14:paraId="303950F8">
      <w:pPr>
        <w:pStyle w:val="21"/>
        <w:spacing w:after="480"/>
        <w:rPr>
          <w:rFonts w:hint="eastAsia"/>
          <w:sz w:val="36"/>
          <w:szCs w:val="36"/>
        </w:rPr>
      </w:pPr>
    </w:p>
    <w:p w14:paraId="30EB319C">
      <w:pPr>
        <w:pStyle w:val="21"/>
        <w:spacing w:after="480"/>
        <w:rPr>
          <w:rFonts w:hint="eastAsia"/>
          <w:sz w:val="36"/>
          <w:szCs w:val="36"/>
        </w:rPr>
      </w:pPr>
    </w:p>
    <w:p w14:paraId="68547467">
      <w:pPr>
        <w:pStyle w:val="21"/>
        <w:spacing w:after="480"/>
        <w:rPr>
          <w:rFonts w:hint="eastAsia"/>
          <w:sz w:val="36"/>
          <w:szCs w:val="36"/>
        </w:rPr>
      </w:pPr>
    </w:p>
    <w:sdt>
      <w:sdtPr>
        <w:rPr>
          <w:rFonts w:ascii="宋体" w:hAnsi="宋体" w:eastAsia="宋体" w:cstheme="minorBidi"/>
          <w:b/>
          <w:bCs/>
          <w:kern w:val="2"/>
          <w:sz w:val="32"/>
          <w:szCs w:val="32"/>
          <w:lang w:val="en-US" w:eastAsia="zh-CN" w:bidi="ar-SA"/>
        </w:rPr>
        <w:id w:val="147474066"/>
        <w15:color w:val="DBDBDB"/>
        <w:docPartObj>
          <w:docPartGallery w:val="Table of Contents"/>
          <w:docPartUnique/>
        </w:docPartObj>
      </w:sdtPr>
      <w:sdtEndPr>
        <w:rPr>
          <w:rFonts w:hint="eastAsia" w:ascii="黑体" w:hAnsi="黑体" w:eastAsia="黑体" w:cs="Times New Roman"/>
          <w:b w:val="0"/>
          <w:bCs/>
          <w:kern w:val="44"/>
          <w:sz w:val="44"/>
          <w:szCs w:val="32"/>
          <w:lang w:val="en-US" w:eastAsia="zh-CN" w:bidi="ar-SA"/>
        </w:rPr>
      </w:sdtEndPr>
      <w:sdtContent>
        <w:p w14:paraId="4C71FA5B">
          <w:pPr>
            <w:spacing w:before="0" w:beforeLines="0" w:after="0" w:afterLines="0" w:line="240" w:lineRule="auto"/>
            <w:ind w:left="0" w:leftChars="0" w:right="0" w:rightChars="0" w:firstLine="0" w:firstLineChars="0"/>
            <w:jc w:val="center"/>
            <w:rPr>
              <w:rFonts w:ascii="宋体" w:hAnsi="宋体" w:eastAsia="宋体" w:cstheme="minorBidi"/>
              <w:b/>
              <w:bCs/>
              <w:kern w:val="2"/>
              <w:sz w:val="32"/>
              <w:szCs w:val="32"/>
              <w:lang w:val="en-US" w:eastAsia="zh-CN" w:bidi="ar-SA"/>
            </w:rPr>
          </w:pPr>
          <w:r>
            <w:rPr>
              <w:rFonts w:ascii="宋体" w:hAnsi="宋体" w:eastAsia="宋体" w:cstheme="minorBidi"/>
              <w:b/>
              <w:bCs/>
              <w:kern w:val="2"/>
              <w:sz w:val="32"/>
              <w:szCs w:val="32"/>
              <w:lang w:val="en-US" w:eastAsia="zh-CN" w:bidi="ar-SA"/>
            </w:rPr>
            <w:t>目</w:t>
          </w:r>
          <w:r>
            <w:rPr>
              <w:rFonts w:hint="eastAsia" w:ascii="宋体" w:hAnsi="宋体" w:eastAsia="宋体" w:cstheme="minorBidi"/>
              <w:b/>
              <w:bCs/>
              <w:kern w:val="2"/>
              <w:sz w:val="32"/>
              <w:szCs w:val="32"/>
              <w:lang w:val="en-US" w:eastAsia="zh-CN" w:bidi="ar-SA"/>
            </w:rPr>
            <w:t xml:space="preserve"> </w:t>
          </w:r>
          <w:r>
            <w:rPr>
              <w:rFonts w:ascii="宋体" w:hAnsi="宋体" w:eastAsia="宋体" w:cstheme="minorBidi"/>
              <w:b/>
              <w:bCs/>
              <w:kern w:val="2"/>
              <w:sz w:val="32"/>
              <w:szCs w:val="32"/>
              <w:lang w:val="en-US" w:eastAsia="zh-CN" w:bidi="ar-SA"/>
            </w:rPr>
            <w:t>录</w:t>
          </w:r>
        </w:p>
        <w:p w14:paraId="3954DF8C">
          <w:pPr>
            <w:pStyle w:val="27"/>
            <w:ind w:firstLine="0" w:firstLineChars="0"/>
            <w:jc w:val="center"/>
            <w:outlineLvl w:val="0"/>
            <w:rPr>
              <w:rFonts w:hint="eastAsia" w:ascii="黑体" w:hAnsi="黑体" w:eastAsia="黑体" w:cs="Times New Roman"/>
              <w:bCs w:val="0"/>
              <w:kern w:val="2"/>
              <w:sz w:val="24"/>
              <w:szCs w:val="32"/>
              <w:lang w:val="en-US" w:eastAsia="zh-CN" w:bidi="ar-SA"/>
            </w:rPr>
          </w:pPr>
          <w:r>
            <w:rPr>
              <w:rFonts w:hint="eastAsia" w:ascii="黑体" w:hAnsi="黑体" w:eastAsia="黑体" w:cs="Times New Roman"/>
              <w:b w:val="0"/>
              <w:bCs w:val="0"/>
              <w:sz w:val="32"/>
              <w:szCs w:val="32"/>
              <w:lang w:val="en-US" w:eastAsia="zh-CN"/>
            </w:rPr>
            <w:fldChar w:fldCharType="begin"/>
          </w:r>
          <w:r>
            <w:rPr>
              <w:rFonts w:hint="eastAsia" w:ascii="黑体" w:hAnsi="黑体" w:eastAsia="黑体" w:cs="Times New Roman"/>
              <w:b w:val="0"/>
              <w:bCs w:val="0"/>
              <w:sz w:val="32"/>
              <w:szCs w:val="32"/>
              <w:lang w:val="en-US" w:eastAsia="zh-CN"/>
            </w:rPr>
            <w:instrText xml:space="preserve">TOC \o "1-3" \h \u </w:instrText>
          </w:r>
          <w:r>
            <w:rPr>
              <w:rFonts w:hint="eastAsia" w:ascii="黑体" w:hAnsi="黑体" w:eastAsia="黑体" w:cs="Times New Roman"/>
              <w:b w:val="0"/>
              <w:bCs w:val="0"/>
              <w:sz w:val="32"/>
              <w:szCs w:val="32"/>
              <w:lang w:val="en-US" w:eastAsia="zh-CN"/>
            </w:rPr>
            <w:fldChar w:fldCharType="separate"/>
          </w:r>
          <w:r>
            <w:rPr>
              <w:rFonts w:hint="eastAsia" w:ascii="黑体" w:hAnsi="黑体" w:eastAsia="黑体" w:cs="Times New Roman"/>
              <w:bCs w:val="0"/>
              <w:kern w:val="2"/>
              <w:sz w:val="24"/>
              <w:szCs w:val="32"/>
              <w:lang w:val="en-US" w:eastAsia="zh-CN" w:bidi="ar-SA"/>
            </w:rPr>
            <w:fldChar w:fldCharType="begin"/>
          </w:r>
          <w:r>
            <w:rPr>
              <w:rFonts w:hint="eastAsia" w:ascii="黑体" w:hAnsi="黑体" w:eastAsia="黑体" w:cs="Times New Roman"/>
              <w:bCs w:val="0"/>
              <w:kern w:val="2"/>
              <w:sz w:val="24"/>
              <w:szCs w:val="32"/>
              <w:lang w:val="en-US" w:eastAsia="zh-CN" w:bidi="ar-SA"/>
            </w:rPr>
            <w:instrText xml:space="preserve"> HYPERLINK \l _Toc5592 </w:instrText>
          </w:r>
          <w:r>
            <w:rPr>
              <w:rFonts w:hint="eastAsia" w:ascii="黑体" w:hAnsi="黑体" w:eastAsia="黑体" w:cs="Times New Roman"/>
              <w:bCs w:val="0"/>
              <w:kern w:val="2"/>
              <w:sz w:val="24"/>
              <w:szCs w:val="32"/>
              <w:lang w:val="en-US" w:eastAsia="zh-CN" w:bidi="ar-SA"/>
            </w:rPr>
            <w:fldChar w:fldCharType="separate"/>
          </w:r>
          <w:r>
            <w:rPr>
              <w:rFonts w:hint="eastAsia" w:ascii="黑体" w:hAnsi="黑体" w:eastAsia="黑体" w:cs="Times New Roman"/>
              <w:bCs w:val="0"/>
              <w:kern w:val="2"/>
              <w:sz w:val="24"/>
              <w:szCs w:val="32"/>
              <w:lang w:val="en-US" w:eastAsia="zh-CN" w:bidi="ar-SA"/>
            </w:rPr>
            <w:t>浅析新纪元下新媒体驱动传统行业营销的问题及策略......................</w:t>
          </w:r>
          <w:r>
            <w:rPr>
              <w:rFonts w:hint="eastAsia" w:ascii="黑体" w:hAnsi="黑体" w:eastAsia="黑体" w:cs="Times New Roman"/>
              <w:bCs w:val="0"/>
              <w:kern w:val="2"/>
              <w:sz w:val="24"/>
              <w:szCs w:val="32"/>
              <w:lang w:val="en-US" w:eastAsia="zh-CN" w:bidi="ar-SA"/>
            </w:rPr>
            <w:fldChar w:fldCharType="begin"/>
          </w:r>
          <w:r>
            <w:rPr>
              <w:rFonts w:hint="eastAsia" w:ascii="黑体" w:hAnsi="黑体" w:eastAsia="黑体" w:cs="Times New Roman"/>
              <w:bCs w:val="0"/>
              <w:kern w:val="2"/>
              <w:sz w:val="24"/>
              <w:szCs w:val="32"/>
              <w:lang w:val="en-US" w:eastAsia="zh-CN" w:bidi="ar-SA"/>
            </w:rPr>
            <w:instrText xml:space="preserve"> PAGEREF _Toc5592 \h </w:instrText>
          </w:r>
          <w:r>
            <w:rPr>
              <w:rFonts w:hint="eastAsia" w:ascii="黑体" w:hAnsi="黑体" w:eastAsia="黑体" w:cs="Times New Roman"/>
              <w:bCs w:val="0"/>
              <w:kern w:val="2"/>
              <w:sz w:val="24"/>
              <w:szCs w:val="32"/>
              <w:lang w:val="en-US" w:eastAsia="zh-CN" w:bidi="ar-SA"/>
            </w:rPr>
            <w:fldChar w:fldCharType="separate"/>
          </w:r>
          <w:r>
            <w:rPr>
              <w:rFonts w:hint="eastAsia" w:ascii="黑体" w:hAnsi="黑体" w:eastAsia="黑体" w:cs="Times New Roman"/>
              <w:bCs w:val="0"/>
              <w:kern w:val="2"/>
              <w:sz w:val="24"/>
              <w:szCs w:val="32"/>
              <w:lang w:val="en-US" w:eastAsia="zh-CN" w:bidi="ar-SA"/>
            </w:rPr>
            <w:t>1</w:t>
          </w:r>
          <w:r>
            <w:rPr>
              <w:rFonts w:hint="eastAsia" w:ascii="黑体" w:hAnsi="黑体" w:eastAsia="黑体" w:cs="Times New Roman"/>
              <w:bCs w:val="0"/>
              <w:kern w:val="2"/>
              <w:sz w:val="24"/>
              <w:szCs w:val="32"/>
              <w:lang w:val="en-US" w:eastAsia="zh-CN" w:bidi="ar-SA"/>
            </w:rPr>
            <w:fldChar w:fldCharType="end"/>
          </w:r>
          <w:r>
            <w:rPr>
              <w:rFonts w:hint="eastAsia" w:ascii="黑体" w:hAnsi="黑体" w:eastAsia="黑体" w:cs="Times New Roman"/>
              <w:bCs w:val="0"/>
              <w:kern w:val="2"/>
              <w:sz w:val="24"/>
              <w:szCs w:val="32"/>
              <w:lang w:val="en-US" w:eastAsia="zh-CN" w:bidi="ar-SA"/>
            </w:rPr>
            <w:fldChar w:fldCharType="end"/>
          </w:r>
        </w:p>
        <w:p w14:paraId="0470E2D6">
          <w:pPr>
            <w:pStyle w:val="9"/>
            <w:tabs>
              <w:tab w:val="right" w:leader="dot" w:pos="8306"/>
              <w:tab w:val="clear" w:pos="1260"/>
              <w:tab w:val="clear" w:pos="8494"/>
            </w:tabs>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_Toc12917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kern w:val="2"/>
              <w:szCs w:val="36"/>
              <w:lang w:val="en-US" w:eastAsia="zh-CN" w:bidi="ar-SA"/>
            </w:rPr>
            <w:t>摘要</w:t>
          </w:r>
          <w:r>
            <w:tab/>
          </w:r>
          <w:r>
            <w:fldChar w:fldCharType="begin"/>
          </w:r>
          <w:r>
            <w:instrText xml:space="preserve"> PAGEREF _Toc12917 \h </w:instrText>
          </w:r>
          <w:r>
            <w:fldChar w:fldCharType="separate"/>
          </w:r>
          <w:r>
            <w:t>1</w:t>
          </w:r>
          <w:r>
            <w:fldChar w:fldCharType="end"/>
          </w:r>
          <w:r>
            <w:rPr>
              <w:rFonts w:hint="eastAsia" w:ascii="黑体" w:hAnsi="黑体" w:eastAsia="黑体" w:cs="Times New Roman"/>
              <w:bCs w:val="0"/>
              <w:szCs w:val="32"/>
              <w:lang w:val="en-US" w:eastAsia="zh-CN"/>
            </w:rPr>
            <w:fldChar w:fldCharType="end"/>
          </w:r>
        </w:p>
        <w:p w14:paraId="1C6CB9BD">
          <w:pPr>
            <w:pStyle w:val="9"/>
            <w:tabs>
              <w:tab w:val="right" w:leader="dot" w:pos="8306"/>
              <w:tab w:val="clear" w:pos="1260"/>
              <w:tab w:val="clear" w:pos="8494"/>
            </w:tabs>
            <w:spacing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_Toc9011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1  新媒体</w:t>
          </w:r>
          <w:r>
            <w:rPr>
              <w:rFonts w:hint="eastAsia" w:cs="Times New Roman"/>
              <w:bCs w:val="0"/>
              <w:szCs w:val="32"/>
              <w:lang w:val="en-US" w:eastAsia="zh-CN"/>
            </w:rPr>
            <w:t>驱动传统行业营销的</w:t>
          </w:r>
          <w:r>
            <w:rPr>
              <w:rFonts w:hint="eastAsia" w:ascii="黑体" w:hAnsi="黑体" w:eastAsia="黑体" w:cs="Times New Roman"/>
              <w:bCs w:val="0"/>
              <w:szCs w:val="32"/>
              <w:lang w:val="en-US" w:eastAsia="zh-CN"/>
            </w:rPr>
            <w:t>重要性</w:t>
          </w:r>
          <w:r>
            <w:tab/>
          </w:r>
          <w:r>
            <w:fldChar w:fldCharType="begin"/>
          </w:r>
          <w:r>
            <w:instrText xml:space="preserve"> PAGEREF _Toc9011 \h </w:instrText>
          </w:r>
          <w:r>
            <w:fldChar w:fldCharType="separate"/>
          </w:r>
          <w:r>
            <w:t>6</w:t>
          </w:r>
          <w:r>
            <w:fldChar w:fldCharType="end"/>
          </w:r>
          <w:r>
            <w:rPr>
              <w:rFonts w:hint="eastAsia" w:ascii="黑体" w:hAnsi="黑体" w:eastAsia="黑体" w:cs="Times New Roman"/>
              <w:bCs w:val="0"/>
              <w:szCs w:val="32"/>
              <w:lang w:val="en-US" w:eastAsia="zh-CN"/>
            </w:rPr>
            <w:fldChar w:fldCharType="end"/>
          </w:r>
        </w:p>
        <w:p w14:paraId="4DD4B2F1">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_Toc2410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1.1 新媒体行业企业加强</w:t>
          </w:r>
          <w:r>
            <w:rPr>
              <w:rFonts w:hint="eastAsia" w:cs="Times New Roman"/>
              <w:bCs w:val="0"/>
              <w:szCs w:val="28"/>
              <w:lang w:val="en-US" w:eastAsia="zh-CN"/>
            </w:rPr>
            <w:t>拓展市场覆盖的重要性</w:t>
          </w:r>
          <w:r>
            <w:tab/>
          </w:r>
          <w:r>
            <w:fldChar w:fldCharType="begin"/>
          </w:r>
          <w:r>
            <w:instrText xml:space="preserve"> PAGEREF _Toc2410 \h </w:instrText>
          </w:r>
          <w:r>
            <w:fldChar w:fldCharType="separate"/>
          </w:r>
          <w:r>
            <w:t>6</w:t>
          </w:r>
          <w:r>
            <w:fldChar w:fldCharType="end"/>
          </w:r>
          <w:r>
            <w:rPr>
              <w:rFonts w:hint="eastAsia" w:ascii="黑体" w:hAnsi="黑体" w:eastAsia="黑体" w:cs="Times New Roman"/>
              <w:bCs w:val="0"/>
              <w:szCs w:val="32"/>
              <w:lang w:val="en-US" w:eastAsia="zh-CN"/>
            </w:rPr>
            <w:fldChar w:fldCharType="end"/>
          </w:r>
        </w:p>
        <w:p w14:paraId="5BB80D7F">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_Toc18661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 xml:space="preserve">1.1.1 </w:t>
          </w:r>
          <w:r>
            <w:rPr>
              <w:rFonts w:hint="eastAsia" w:ascii="黑体" w:hAnsi="黑体" w:eastAsia="黑体" w:cs="黑体"/>
              <w:bCs w:val="0"/>
              <w:szCs w:val="24"/>
            </w:rPr>
            <w:t>加强</w:t>
          </w:r>
          <w:r>
            <w:rPr>
              <w:rFonts w:hint="eastAsia" w:ascii="黑体" w:hAnsi="黑体" w:eastAsia="黑体" w:cs="黑体"/>
              <w:bCs w:val="0"/>
              <w:szCs w:val="24"/>
              <w:lang w:val="en-US" w:eastAsia="zh-CN"/>
            </w:rPr>
            <w:t>营销互动性</w:t>
          </w:r>
          <w:r>
            <w:rPr>
              <w:rFonts w:hint="eastAsia" w:ascii="黑体" w:hAnsi="黑体" w:eastAsia="黑体" w:cs="黑体"/>
              <w:bCs w:val="0"/>
              <w:szCs w:val="24"/>
            </w:rPr>
            <w:t>利于提升</w:t>
          </w:r>
          <w:r>
            <w:rPr>
              <w:rFonts w:hint="eastAsia" w:ascii="黑体" w:hAnsi="黑体" w:eastAsia="黑体" w:cs="黑体"/>
              <w:bCs w:val="0"/>
              <w:szCs w:val="24"/>
              <w:lang w:val="en-US" w:eastAsia="zh-CN"/>
            </w:rPr>
            <w:t>与消费者参与度</w:t>
          </w:r>
          <w:r>
            <w:tab/>
          </w:r>
          <w:r>
            <w:fldChar w:fldCharType="begin"/>
          </w:r>
          <w:r>
            <w:instrText xml:space="preserve"> PAGEREF _Toc18661 \h </w:instrText>
          </w:r>
          <w:r>
            <w:fldChar w:fldCharType="separate"/>
          </w:r>
          <w:r>
            <w:t>6</w:t>
          </w:r>
          <w:r>
            <w:fldChar w:fldCharType="end"/>
          </w:r>
          <w:r>
            <w:rPr>
              <w:rFonts w:hint="eastAsia" w:ascii="黑体" w:hAnsi="黑体" w:eastAsia="黑体" w:cs="Times New Roman"/>
              <w:bCs w:val="0"/>
              <w:szCs w:val="32"/>
              <w:lang w:val="en-US" w:eastAsia="zh-CN"/>
            </w:rPr>
            <w:fldChar w:fldCharType="end"/>
          </w:r>
        </w:p>
        <w:p w14:paraId="77D1A3D0">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_Toc8644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 xml:space="preserve">1.1.2 </w:t>
          </w:r>
          <w:r>
            <w:rPr>
              <w:rFonts w:hint="default" w:ascii="黑体" w:hAnsi="黑体" w:eastAsia="黑体" w:cs="黑体"/>
              <w:bCs w:val="0"/>
              <w:szCs w:val="24"/>
              <w:lang w:val="en-US" w:eastAsia="zh-CN"/>
            </w:rPr>
            <w:t>有利于</w:t>
          </w:r>
          <w:r>
            <w:rPr>
              <w:rFonts w:hint="eastAsia" w:ascii="黑体" w:hAnsi="黑体" w:eastAsia="黑体" w:cs="黑体"/>
              <w:bCs w:val="0"/>
              <w:szCs w:val="24"/>
              <w:lang w:val="en-US" w:eastAsia="zh-CN"/>
            </w:rPr>
            <w:t>传播效率提升营销触达率</w:t>
          </w:r>
          <w:r>
            <w:tab/>
          </w:r>
          <w:r>
            <w:fldChar w:fldCharType="begin"/>
          </w:r>
          <w:r>
            <w:instrText xml:space="preserve"> PAGEREF _Toc8644 \h </w:instrText>
          </w:r>
          <w:r>
            <w:fldChar w:fldCharType="separate"/>
          </w:r>
          <w:r>
            <w:t>7</w:t>
          </w:r>
          <w:r>
            <w:fldChar w:fldCharType="end"/>
          </w:r>
          <w:r>
            <w:rPr>
              <w:rFonts w:hint="eastAsia" w:ascii="黑体" w:hAnsi="黑体" w:eastAsia="黑体" w:cs="Times New Roman"/>
              <w:bCs w:val="0"/>
              <w:szCs w:val="32"/>
              <w:lang w:val="en-US" w:eastAsia="zh-CN"/>
            </w:rPr>
            <w:fldChar w:fldCharType="end"/>
          </w:r>
        </w:p>
        <w:p w14:paraId="0F280D86">
          <w:pPr>
            <w:pStyle w:val="6"/>
            <w:tabs>
              <w:tab w:val="right" w:leader="dot" w:pos="8306"/>
            </w:tabs>
            <w:spacing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_Toc18468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1.1.3</w:t>
          </w:r>
          <w:r>
            <w:rPr>
              <w:rFonts w:hint="default" w:ascii="黑体" w:hAnsi="黑体" w:eastAsia="黑体" w:cs="黑体"/>
              <w:bCs w:val="0"/>
              <w:szCs w:val="24"/>
              <w:lang w:val="en-US" w:eastAsia="zh-CN"/>
            </w:rPr>
            <w:t>有利于促进</w:t>
          </w:r>
          <w:r>
            <w:rPr>
              <w:rFonts w:hint="eastAsia" w:ascii="黑体" w:hAnsi="黑体" w:eastAsia="黑体" w:cs="黑体"/>
              <w:bCs w:val="0"/>
              <w:szCs w:val="24"/>
              <w:lang w:val="en-US" w:eastAsia="zh-CN"/>
            </w:rPr>
            <w:t>塑造品牌形象提升知名度</w:t>
          </w:r>
          <w:r>
            <w:tab/>
          </w:r>
          <w:r>
            <w:fldChar w:fldCharType="begin"/>
          </w:r>
          <w:r>
            <w:instrText xml:space="preserve"> PAGEREF _Toc18468 \h </w:instrText>
          </w:r>
          <w:r>
            <w:fldChar w:fldCharType="separate"/>
          </w:r>
          <w:r>
            <w:t>7</w:t>
          </w:r>
          <w:r>
            <w:fldChar w:fldCharType="end"/>
          </w:r>
          <w:r>
            <w:rPr>
              <w:rFonts w:hint="eastAsia" w:ascii="黑体" w:hAnsi="黑体" w:eastAsia="黑体" w:cs="Times New Roman"/>
              <w:bCs w:val="0"/>
              <w:szCs w:val="32"/>
              <w:lang w:val="en-US" w:eastAsia="zh-CN"/>
            </w:rPr>
            <w:fldChar w:fldCharType="end"/>
          </w:r>
        </w:p>
        <w:p w14:paraId="3EC89EBD">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_Toc7486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1.2 能够推动</w:t>
          </w:r>
          <w:r>
            <w:rPr>
              <w:rFonts w:hint="eastAsia" w:cs="Times New Roman"/>
              <w:bCs w:val="0"/>
              <w:szCs w:val="28"/>
              <w:lang w:val="en-US" w:eastAsia="zh-CN"/>
            </w:rPr>
            <w:t>传统</w:t>
          </w:r>
          <w:r>
            <w:rPr>
              <w:rFonts w:hint="eastAsia" w:ascii="黑体" w:hAnsi="黑体" w:eastAsia="黑体" w:cs="Times New Roman"/>
              <w:bCs w:val="0"/>
              <w:szCs w:val="28"/>
              <w:lang w:val="en-US" w:eastAsia="zh-CN"/>
            </w:rPr>
            <w:t>企业</w:t>
          </w:r>
          <w:r>
            <w:rPr>
              <w:rFonts w:hint="eastAsia" w:cs="Times New Roman"/>
              <w:bCs w:val="0"/>
              <w:szCs w:val="28"/>
              <w:lang w:val="en-US" w:eastAsia="zh-CN"/>
            </w:rPr>
            <w:t>在新世纪营销中</w:t>
          </w:r>
          <w:r>
            <w:rPr>
              <w:rFonts w:hint="eastAsia" w:ascii="黑体" w:hAnsi="黑体" w:eastAsia="黑体" w:cs="Times New Roman"/>
              <w:bCs w:val="0"/>
              <w:szCs w:val="28"/>
              <w:lang w:val="en-US" w:eastAsia="zh-CN"/>
            </w:rPr>
            <w:t>持续发展</w:t>
          </w:r>
          <w:r>
            <w:tab/>
          </w:r>
          <w:r>
            <w:fldChar w:fldCharType="begin"/>
          </w:r>
          <w:r>
            <w:instrText xml:space="preserve"> PAGEREF _Toc7486 \h </w:instrText>
          </w:r>
          <w:r>
            <w:fldChar w:fldCharType="separate"/>
          </w:r>
          <w:r>
            <w:t>7</w:t>
          </w:r>
          <w:r>
            <w:fldChar w:fldCharType="end"/>
          </w:r>
          <w:r>
            <w:rPr>
              <w:rFonts w:hint="eastAsia" w:ascii="黑体" w:hAnsi="黑体" w:eastAsia="黑体" w:cs="Times New Roman"/>
              <w:bCs w:val="0"/>
              <w:szCs w:val="32"/>
              <w:lang w:val="en-US" w:eastAsia="zh-CN"/>
            </w:rPr>
            <w:fldChar w:fldCharType="end"/>
          </w:r>
        </w:p>
        <w:p w14:paraId="72AE3335">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_Toc29621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 xml:space="preserve">1.2.1 </w:t>
          </w:r>
          <w:r>
            <w:rPr>
              <w:rFonts w:hint="default" w:ascii="黑体" w:hAnsi="黑体" w:eastAsia="黑体" w:cs="黑体"/>
              <w:bCs w:val="0"/>
              <w:szCs w:val="24"/>
              <w:lang w:val="en-US" w:eastAsia="zh-CN"/>
            </w:rPr>
            <w:t>有利于</w:t>
          </w:r>
          <w:r>
            <w:rPr>
              <w:rFonts w:hint="eastAsia" w:ascii="黑体" w:hAnsi="黑体" w:eastAsia="黑体" w:cs="黑体"/>
              <w:bCs w:val="0"/>
              <w:szCs w:val="24"/>
              <w:lang w:val="en-US" w:eastAsia="zh-CN"/>
            </w:rPr>
            <w:t>精准定位目标客户保持</w:t>
          </w:r>
          <w:r>
            <w:rPr>
              <w:rFonts w:hint="default" w:ascii="黑体" w:hAnsi="黑体" w:eastAsia="黑体" w:cs="黑体"/>
              <w:bCs w:val="0"/>
              <w:szCs w:val="24"/>
              <w:lang w:val="en-US" w:eastAsia="zh-CN"/>
            </w:rPr>
            <w:t>业务增长和扩张</w:t>
          </w:r>
          <w:r>
            <w:tab/>
          </w:r>
          <w:r>
            <w:fldChar w:fldCharType="begin"/>
          </w:r>
          <w:r>
            <w:instrText xml:space="preserve"> PAGEREF _Toc29621 \h </w:instrText>
          </w:r>
          <w:r>
            <w:fldChar w:fldCharType="separate"/>
          </w:r>
          <w:r>
            <w:t>7</w:t>
          </w:r>
          <w:r>
            <w:fldChar w:fldCharType="end"/>
          </w:r>
          <w:r>
            <w:rPr>
              <w:rFonts w:hint="eastAsia" w:ascii="黑体" w:hAnsi="黑体" w:eastAsia="黑体" w:cs="Times New Roman"/>
              <w:bCs w:val="0"/>
              <w:szCs w:val="32"/>
              <w:lang w:val="en-US" w:eastAsia="zh-CN"/>
            </w:rPr>
            <w:fldChar w:fldCharType="end"/>
          </w:r>
        </w:p>
        <w:p w14:paraId="0B12B74E">
          <w:pPr>
            <w:pStyle w:val="6"/>
            <w:tabs>
              <w:tab w:val="right" w:leader="dot" w:pos="8306"/>
            </w:tabs>
            <w:ind w:left="0" w:leftChars="0" w:firstLine="480" w:firstLineChars="200"/>
            <w:rPr>
              <w:rFonts w:hint="eastAsia" w:ascii="黑体" w:hAnsi="黑体" w:eastAsia="黑体" w:cs="Times New Roman"/>
              <w:bCs w:val="0"/>
              <w:szCs w:val="32"/>
              <w:lang w:val="en-US" w:eastAsia="zh-CN"/>
            </w:rPr>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_Toc9134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1.2.2 有利于降低营销成本起到降本增效作用</w:t>
          </w:r>
          <w:r>
            <w:tab/>
          </w:r>
          <w:r>
            <w:fldChar w:fldCharType="begin"/>
          </w:r>
          <w:r>
            <w:instrText xml:space="preserve"> PAGEREF _Toc9134 \h </w:instrText>
          </w:r>
          <w:r>
            <w:fldChar w:fldCharType="separate"/>
          </w:r>
          <w:r>
            <w:t>8</w:t>
          </w:r>
          <w:r>
            <w:fldChar w:fldCharType="end"/>
          </w:r>
          <w:r>
            <w:rPr>
              <w:rFonts w:hint="eastAsia" w:ascii="黑体" w:hAnsi="黑体" w:eastAsia="黑体" w:cs="Times New Roman"/>
              <w:bCs w:val="0"/>
              <w:szCs w:val="32"/>
              <w:lang w:val="en-US" w:eastAsia="zh-CN"/>
            </w:rPr>
            <w:fldChar w:fldCharType="end"/>
          </w:r>
        </w:p>
        <w:p w14:paraId="2D7B9972">
          <w:pPr>
            <w:ind w:firstLine="480" w:firstLineChars="200"/>
            <w:rPr>
              <w:rFonts w:hint="eastAsia" w:ascii="黑体" w:hAnsi="黑体" w:eastAsia="黑体" w:cs="黑体"/>
              <w:bCs w:val="0"/>
              <w:kern w:val="2"/>
              <w:sz w:val="24"/>
              <w:szCs w:val="24"/>
              <w:lang w:val="en-US" w:eastAsia="zh-CN" w:bidi="ar-SA"/>
            </w:rPr>
          </w:pPr>
          <w:r>
            <w:rPr>
              <w:rFonts w:hint="eastAsia" w:ascii="黑体" w:hAnsi="黑体" w:eastAsia="黑体" w:cs="黑体"/>
              <w:bCs w:val="0"/>
              <w:kern w:val="2"/>
              <w:sz w:val="24"/>
              <w:szCs w:val="24"/>
              <w:lang w:val="en-US" w:eastAsia="zh-CN" w:bidi="ar-SA"/>
            </w:rPr>
            <w:fldChar w:fldCharType="begin"/>
          </w:r>
          <w:r>
            <w:rPr>
              <w:rFonts w:hint="eastAsia" w:ascii="黑体" w:hAnsi="黑体" w:eastAsia="黑体" w:cs="黑体"/>
              <w:bCs w:val="0"/>
              <w:kern w:val="2"/>
              <w:sz w:val="24"/>
              <w:szCs w:val="24"/>
              <w:lang w:val="en-US" w:eastAsia="zh-CN" w:bidi="ar-SA"/>
            </w:rPr>
            <w:instrText xml:space="preserve"> HYPERLINK \l _Toc9134 </w:instrText>
          </w:r>
          <w:r>
            <w:rPr>
              <w:rFonts w:hint="eastAsia" w:ascii="黑体" w:hAnsi="黑体" w:eastAsia="黑体" w:cs="黑体"/>
              <w:bCs w:val="0"/>
              <w:kern w:val="2"/>
              <w:sz w:val="24"/>
              <w:szCs w:val="24"/>
              <w:lang w:val="en-US" w:eastAsia="zh-CN" w:bidi="ar-SA"/>
            </w:rPr>
            <w:fldChar w:fldCharType="separate"/>
          </w:r>
          <w:r>
            <w:rPr>
              <w:rFonts w:hint="eastAsia" w:ascii="黑体" w:hAnsi="黑体" w:eastAsia="黑体" w:cs="黑体"/>
              <w:bCs w:val="0"/>
              <w:kern w:val="2"/>
              <w:sz w:val="24"/>
              <w:szCs w:val="24"/>
              <w:lang w:val="en-US" w:eastAsia="zh-CN" w:bidi="ar-SA"/>
            </w:rPr>
            <w:t>1.2.3 有利于顺应时代发展掌握主流营销工具</w:t>
          </w:r>
          <w:r>
            <w:rPr>
              <w:rFonts w:hint="eastAsia" w:ascii="Times New Roman" w:hAnsi="Times New Roman" w:eastAsia="宋体" w:cs="Times New Roman"/>
              <w:kern w:val="2"/>
              <w:sz w:val="24"/>
              <w:szCs w:val="24"/>
              <w:lang w:val="en-US" w:eastAsia="zh-CN" w:bidi="ar-SA"/>
            </w:rPr>
            <w:t>......................</w:t>
          </w:r>
          <w:r>
            <w:rPr>
              <w:rFonts w:hint="eastAsia" w:cs="Times New Roman"/>
              <w:kern w:val="2"/>
              <w:sz w:val="24"/>
              <w:szCs w:val="24"/>
              <w:lang w:val="en-US" w:eastAsia="zh-CN" w:bidi="ar-SA"/>
            </w:rPr>
            <w:t>..........................</w:t>
          </w:r>
          <w:r>
            <w:rPr>
              <w:rFonts w:hint="eastAsia" w:ascii="黑体" w:hAnsi="黑体" w:eastAsia="黑体" w:cs="黑体"/>
              <w:bCs w:val="0"/>
              <w:kern w:val="2"/>
              <w:sz w:val="24"/>
              <w:szCs w:val="24"/>
              <w:lang w:val="en-US" w:eastAsia="zh-CN" w:bidi="ar-SA"/>
            </w:rPr>
            <w:fldChar w:fldCharType="begin"/>
          </w:r>
          <w:r>
            <w:rPr>
              <w:rFonts w:hint="eastAsia" w:ascii="黑体" w:hAnsi="黑体" w:eastAsia="黑体" w:cs="黑体"/>
              <w:bCs w:val="0"/>
              <w:kern w:val="2"/>
              <w:sz w:val="24"/>
              <w:szCs w:val="24"/>
              <w:lang w:val="en-US" w:eastAsia="zh-CN" w:bidi="ar-SA"/>
            </w:rPr>
            <w:instrText xml:space="preserve"> PAGEREF _Toc9134 \h </w:instrText>
          </w:r>
          <w:r>
            <w:rPr>
              <w:rFonts w:hint="eastAsia" w:ascii="黑体" w:hAnsi="黑体" w:eastAsia="黑体" w:cs="黑体"/>
              <w:bCs w:val="0"/>
              <w:kern w:val="2"/>
              <w:sz w:val="24"/>
              <w:szCs w:val="24"/>
              <w:lang w:val="en-US" w:eastAsia="zh-CN" w:bidi="ar-SA"/>
            </w:rPr>
            <w:fldChar w:fldCharType="separate"/>
          </w:r>
          <w:r>
            <w:rPr>
              <w:rFonts w:hint="eastAsia" w:ascii="黑体" w:hAnsi="黑体" w:eastAsia="黑体" w:cs="黑体"/>
              <w:bCs w:val="0"/>
              <w:kern w:val="2"/>
              <w:sz w:val="24"/>
              <w:szCs w:val="24"/>
              <w:lang w:val="en-US" w:eastAsia="zh-CN" w:bidi="ar-SA"/>
            </w:rPr>
            <w:t>8</w:t>
          </w:r>
          <w:r>
            <w:rPr>
              <w:rFonts w:hint="eastAsia" w:ascii="黑体" w:hAnsi="黑体" w:eastAsia="黑体" w:cs="黑体"/>
              <w:bCs w:val="0"/>
              <w:kern w:val="2"/>
              <w:sz w:val="24"/>
              <w:szCs w:val="24"/>
              <w:lang w:val="en-US" w:eastAsia="zh-CN" w:bidi="ar-SA"/>
            </w:rPr>
            <w:fldChar w:fldCharType="end"/>
          </w:r>
          <w:r>
            <w:rPr>
              <w:rFonts w:hint="eastAsia" w:ascii="黑体" w:hAnsi="黑体" w:eastAsia="黑体" w:cs="黑体"/>
              <w:bCs w:val="0"/>
              <w:kern w:val="2"/>
              <w:sz w:val="24"/>
              <w:szCs w:val="24"/>
              <w:lang w:val="en-US" w:eastAsia="zh-CN" w:bidi="ar-SA"/>
            </w:rPr>
            <w:fldChar w:fldCharType="end"/>
          </w:r>
        </w:p>
        <w:p w14:paraId="792FC0C8">
          <w:pPr>
            <w:pStyle w:val="9"/>
            <w:tabs>
              <w:tab w:val="right" w:leader="dot" w:pos="8306"/>
              <w:tab w:val="clear" w:pos="1260"/>
              <w:tab w:val="clear" w:pos="8494"/>
            </w:tabs>
            <w:spacing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_Toc7059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szCs w:val="32"/>
              <w:lang w:val="en-US" w:eastAsia="zh-CN"/>
            </w:rPr>
            <w:t>2  新媒体</w:t>
          </w:r>
          <w:r>
            <w:rPr>
              <w:rFonts w:hint="eastAsia" w:cs="黑体"/>
              <w:bCs/>
              <w:szCs w:val="32"/>
              <w:lang w:val="en-US" w:eastAsia="zh-CN"/>
            </w:rPr>
            <w:t>赋能传统行业</w:t>
          </w:r>
          <w:r>
            <w:rPr>
              <w:rFonts w:hint="eastAsia" w:ascii="黑体" w:hAnsi="黑体" w:eastAsia="黑体" w:cs="黑体"/>
              <w:bCs/>
              <w:szCs w:val="32"/>
              <w:lang w:val="en-US" w:eastAsia="zh-CN"/>
            </w:rPr>
            <w:t>的特点</w:t>
          </w:r>
          <w:r>
            <w:tab/>
          </w:r>
          <w:r>
            <w:fldChar w:fldCharType="begin"/>
          </w:r>
          <w:r>
            <w:instrText xml:space="preserve"> PAGEREF _Toc7059 \h </w:instrText>
          </w:r>
          <w:r>
            <w:fldChar w:fldCharType="separate"/>
          </w:r>
          <w:r>
            <w:t>8</w:t>
          </w:r>
          <w:r>
            <w:fldChar w:fldCharType="end"/>
          </w:r>
          <w:r>
            <w:rPr>
              <w:rFonts w:hint="eastAsia" w:ascii="黑体" w:hAnsi="黑体" w:eastAsia="黑体" w:cs="Times New Roman"/>
              <w:bCs w:val="0"/>
              <w:szCs w:val="32"/>
              <w:lang w:val="en-US" w:eastAsia="zh-CN"/>
            </w:rPr>
            <w:fldChar w:fldCharType="end"/>
          </w:r>
        </w:p>
        <w:p w14:paraId="6485B366">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_Toc30370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2.1 </w:t>
          </w:r>
          <w:r>
            <w:rPr>
              <w:rFonts w:hint="eastAsia" w:cs="Times New Roman"/>
              <w:bCs w:val="0"/>
              <w:szCs w:val="28"/>
              <w:lang w:val="en-US" w:eastAsia="zh-CN"/>
            </w:rPr>
            <w:t>新媒体的赋能的特性化</w:t>
          </w:r>
          <w:r>
            <w:tab/>
          </w:r>
          <w:r>
            <w:fldChar w:fldCharType="begin"/>
          </w:r>
          <w:r>
            <w:instrText xml:space="preserve"> PAGEREF _Toc30370 \h </w:instrText>
          </w:r>
          <w:r>
            <w:fldChar w:fldCharType="separate"/>
          </w:r>
          <w:r>
            <w:t>9</w:t>
          </w:r>
          <w:r>
            <w:fldChar w:fldCharType="end"/>
          </w:r>
          <w:r>
            <w:rPr>
              <w:rFonts w:hint="eastAsia" w:ascii="黑体" w:hAnsi="黑体" w:eastAsia="黑体" w:cs="Times New Roman"/>
              <w:bCs w:val="0"/>
              <w:szCs w:val="32"/>
              <w:lang w:val="en-US" w:eastAsia="zh-CN"/>
            </w:rPr>
            <w:fldChar w:fldCharType="end"/>
          </w:r>
        </w:p>
        <w:p w14:paraId="5C5C2B43">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_Toc20141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2.1.1 实时性与即时性</w:t>
          </w:r>
          <w:r>
            <w:tab/>
          </w:r>
          <w:r>
            <w:fldChar w:fldCharType="begin"/>
          </w:r>
          <w:r>
            <w:instrText xml:space="preserve"> PAGEREF _Toc20141 \h </w:instrText>
          </w:r>
          <w:r>
            <w:fldChar w:fldCharType="separate"/>
          </w:r>
          <w:r>
            <w:t>9</w:t>
          </w:r>
          <w:r>
            <w:fldChar w:fldCharType="end"/>
          </w:r>
          <w:r>
            <w:rPr>
              <w:rFonts w:hint="eastAsia" w:ascii="黑体" w:hAnsi="黑体" w:eastAsia="黑体" w:cs="Times New Roman"/>
              <w:bCs w:val="0"/>
              <w:szCs w:val="32"/>
              <w:lang w:val="en-US" w:eastAsia="zh-CN"/>
            </w:rPr>
            <w:fldChar w:fldCharType="end"/>
          </w:r>
        </w:p>
        <w:p w14:paraId="002A2EC1">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_Toc13974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2.1.2互动性与参与性</w:t>
          </w:r>
          <w:r>
            <w:tab/>
          </w:r>
          <w:r>
            <w:fldChar w:fldCharType="begin"/>
          </w:r>
          <w:r>
            <w:instrText xml:space="preserve"> PAGEREF _Toc13974 \h </w:instrText>
          </w:r>
          <w:r>
            <w:fldChar w:fldCharType="separate"/>
          </w:r>
          <w:r>
            <w:t>10</w:t>
          </w:r>
          <w:r>
            <w:fldChar w:fldCharType="end"/>
          </w:r>
          <w:r>
            <w:rPr>
              <w:rFonts w:hint="eastAsia" w:ascii="黑体" w:hAnsi="黑体" w:eastAsia="黑体" w:cs="Times New Roman"/>
              <w:bCs w:val="0"/>
              <w:szCs w:val="32"/>
              <w:lang w:val="en-US" w:eastAsia="zh-CN"/>
            </w:rPr>
            <w:fldChar w:fldCharType="end"/>
          </w:r>
        </w:p>
        <w:p w14:paraId="4CB19C13">
          <w:pPr>
            <w:pStyle w:val="6"/>
            <w:tabs>
              <w:tab w:val="right" w:leader="dot" w:pos="8306"/>
            </w:tabs>
            <w:spacing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_Toc27564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2.1.3个性化与定制化</w:t>
          </w:r>
          <w:r>
            <w:tab/>
          </w:r>
          <w:r>
            <w:fldChar w:fldCharType="begin"/>
          </w:r>
          <w:r>
            <w:instrText xml:space="preserve"> PAGEREF _Toc27564 \h </w:instrText>
          </w:r>
          <w:r>
            <w:fldChar w:fldCharType="separate"/>
          </w:r>
          <w:r>
            <w:t>10</w:t>
          </w:r>
          <w:r>
            <w:fldChar w:fldCharType="end"/>
          </w:r>
          <w:r>
            <w:rPr>
              <w:rFonts w:hint="eastAsia" w:ascii="黑体" w:hAnsi="黑体" w:eastAsia="黑体" w:cs="Times New Roman"/>
              <w:bCs w:val="0"/>
              <w:szCs w:val="32"/>
              <w:lang w:val="en-US" w:eastAsia="zh-CN"/>
            </w:rPr>
            <w:fldChar w:fldCharType="end"/>
          </w:r>
        </w:p>
        <w:p w14:paraId="5E585365">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_Toc3882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2.2 </w:t>
          </w:r>
          <w:r>
            <w:rPr>
              <w:rFonts w:hint="eastAsia" w:cs="Times New Roman"/>
              <w:bCs w:val="0"/>
              <w:szCs w:val="28"/>
              <w:lang w:val="en-US" w:eastAsia="zh-CN"/>
            </w:rPr>
            <w:t>新媒体赋能的专业化</w:t>
          </w:r>
          <w:r>
            <w:tab/>
          </w:r>
          <w:r>
            <w:fldChar w:fldCharType="begin"/>
          </w:r>
          <w:r>
            <w:instrText xml:space="preserve"> PAGEREF _Toc3882 \h </w:instrText>
          </w:r>
          <w:r>
            <w:fldChar w:fldCharType="separate"/>
          </w:r>
          <w:r>
            <w:t>10</w:t>
          </w:r>
          <w:r>
            <w:fldChar w:fldCharType="end"/>
          </w:r>
          <w:r>
            <w:rPr>
              <w:rFonts w:hint="eastAsia" w:ascii="黑体" w:hAnsi="黑体" w:eastAsia="黑体" w:cs="Times New Roman"/>
              <w:bCs w:val="0"/>
              <w:szCs w:val="32"/>
              <w:lang w:val="en-US" w:eastAsia="zh-CN"/>
            </w:rPr>
            <w:fldChar w:fldCharType="end"/>
          </w:r>
        </w:p>
        <w:p w14:paraId="73E009EC">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_Toc229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2.2.1 数据驱动</w:t>
          </w:r>
          <w:r>
            <w:tab/>
          </w:r>
          <w:r>
            <w:fldChar w:fldCharType="begin"/>
          </w:r>
          <w:r>
            <w:instrText xml:space="preserve"> PAGEREF _Toc229 \h </w:instrText>
          </w:r>
          <w:r>
            <w:fldChar w:fldCharType="separate"/>
          </w:r>
          <w:r>
            <w:t>11</w:t>
          </w:r>
          <w:r>
            <w:fldChar w:fldCharType="end"/>
          </w:r>
          <w:r>
            <w:rPr>
              <w:rFonts w:hint="eastAsia" w:ascii="黑体" w:hAnsi="黑体" w:eastAsia="黑体" w:cs="Times New Roman"/>
              <w:bCs w:val="0"/>
              <w:szCs w:val="32"/>
              <w:lang w:val="en-US" w:eastAsia="zh-CN"/>
            </w:rPr>
            <w:fldChar w:fldCharType="end"/>
          </w:r>
        </w:p>
        <w:p w14:paraId="6A943CC7">
          <w:pPr>
            <w:pStyle w:val="6"/>
            <w:tabs>
              <w:tab w:val="right" w:leader="dot" w:pos="8306"/>
            </w:tabs>
            <w:spacing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_Toc27076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2.2.2 决策依据</w:t>
          </w:r>
          <w:r>
            <w:tab/>
          </w:r>
          <w:r>
            <w:fldChar w:fldCharType="begin"/>
          </w:r>
          <w:r>
            <w:instrText xml:space="preserve"> PAGEREF _Toc27076 \h </w:instrText>
          </w:r>
          <w:r>
            <w:fldChar w:fldCharType="separate"/>
          </w:r>
          <w:r>
            <w:t>11</w:t>
          </w:r>
          <w:r>
            <w:fldChar w:fldCharType="end"/>
          </w:r>
          <w:r>
            <w:rPr>
              <w:rFonts w:hint="eastAsia" w:ascii="黑体" w:hAnsi="黑体" w:eastAsia="黑体" w:cs="Times New Roman"/>
              <w:bCs w:val="0"/>
              <w:szCs w:val="32"/>
              <w:lang w:val="en-US" w:eastAsia="zh-CN"/>
            </w:rPr>
            <w:fldChar w:fldCharType="end"/>
          </w:r>
        </w:p>
        <w:p w14:paraId="2ECA030F">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_Toc15588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 xml:space="preserve">2.2.3 </w:t>
          </w:r>
          <w:r>
            <w:rPr>
              <w:rFonts w:hint="eastAsia" w:cs="黑体"/>
              <w:bCs w:val="0"/>
              <w:szCs w:val="24"/>
              <w:lang w:val="en-US" w:eastAsia="zh-CN"/>
            </w:rPr>
            <w:t>多渠道整合</w:t>
          </w:r>
          <w:r>
            <w:tab/>
          </w:r>
          <w:r>
            <w:fldChar w:fldCharType="begin"/>
          </w:r>
          <w:r>
            <w:instrText xml:space="preserve"> PAGEREF _Toc15588 \h </w:instrText>
          </w:r>
          <w:r>
            <w:fldChar w:fldCharType="separate"/>
          </w:r>
          <w:r>
            <w:t>11</w:t>
          </w:r>
          <w:r>
            <w:fldChar w:fldCharType="end"/>
          </w:r>
          <w:r>
            <w:rPr>
              <w:rFonts w:hint="eastAsia" w:ascii="黑体" w:hAnsi="黑体" w:eastAsia="黑体" w:cs="Times New Roman"/>
              <w:bCs w:val="0"/>
              <w:szCs w:val="32"/>
              <w:lang w:val="en-US" w:eastAsia="zh-CN"/>
            </w:rPr>
            <w:fldChar w:fldCharType="end"/>
          </w:r>
        </w:p>
        <w:p w14:paraId="4C061B86">
          <w:pPr>
            <w:pStyle w:val="6"/>
            <w:tabs>
              <w:tab w:val="right" w:leader="dot" w:pos="8306"/>
            </w:tabs>
            <w:spacing w:beforeAutospacing="0"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_Toc639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2.2.4 全球化视野</w:t>
          </w:r>
          <w:r>
            <w:tab/>
          </w:r>
          <w:r>
            <w:fldChar w:fldCharType="begin"/>
          </w:r>
          <w:r>
            <w:instrText xml:space="preserve"> PAGEREF _Toc639 \h </w:instrText>
          </w:r>
          <w:r>
            <w:fldChar w:fldCharType="separate"/>
          </w:r>
          <w:r>
            <w:t>12</w:t>
          </w:r>
          <w:r>
            <w:fldChar w:fldCharType="end"/>
          </w:r>
          <w:r>
            <w:rPr>
              <w:rFonts w:hint="eastAsia" w:ascii="黑体" w:hAnsi="黑体" w:eastAsia="黑体" w:cs="Times New Roman"/>
              <w:bCs w:val="0"/>
              <w:szCs w:val="32"/>
              <w:lang w:val="en-US" w:eastAsia="zh-CN"/>
            </w:rPr>
            <w:fldChar w:fldCharType="end"/>
          </w:r>
        </w:p>
        <w:p w14:paraId="70B07DB9">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_Toc31788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2.3 </w:t>
          </w:r>
          <w:r>
            <w:rPr>
              <w:rFonts w:hint="eastAsia" w:cs="Times New Roman"/>
              <w:bCs w:val="0"/>
              <w:szCs w:val="28"/>
              <w:lang w:val="en-US" w:eastAsia="zh-CN"/>
            </w:rPr>
            <w:t>传统行业</w:t>
          </w:r>
          <w:r>
            <w:rPr>
              <w:rFonts w:hint="eastAsia" w:ascii="黑体" w:hAnsi="黑体" w:eastAsia="黑体" w:cs="Times New Roman"/>
              <w:bCs w:val="0"/>
              <w:szCs w:val="28"/>
              <w:lang w:val="en-US" w:eastAsia="zh-CN"/>
            </w:rPr>
            <w:t>适应</w:t>
          </w:r>
          <w:r>
            <w:rPr>
              <w:rFonts w:hint="eastAsia" w:cs="Times New Roman"/>
              <w:bCs w:val="0"/>
              <w:szCs w:val="28"/>
              <w:lang w:val="en-US" w:eastAsia="zh-CN"/>
            </w:rPr>
            <w:t>新媒体</w:t>
          </w:r>
          <w:r>
            <w:rPr>
              <w:rFonts w:hint="eastAsia" w:ascii="黑体" w:hAnsi="黑体" w:eastAsia="黑体" w:cs="Times New Roman"/>
              <w:bCs w:val="0"/>
              <w:szCs w:val="28"/>
              <w:lang w:val="en-US" w:eastAsia="zh-CN"/>
            </w:rPr>
            <w:t>变化的能力</w:t>
          </w:r>
          <w:r>
            <w:tab/>
          </w:r>
          <w:r>
            <w:fldChar w:fldCharType="begin"/>
          </w:r>
          <w:r>
            <w:instrText xml:space="preserve"> PAGEREF _Toc31788 \h </w:instrText>
          </w:r>
          <w:r>
            <w:fldChar w:fldCharType="separate"/>
          </w:r>
          <w:r>
            <w:t>12</w:t>
          </w:r>
          <w:r>
            <w:fldChar w:fldCharType="end"/>
          </w:r>
          <w:r>
            <w:rPr>
              <w:rFonts w:hint="eastAsia" w:ascii="黑体" w:hAnsi="黑体" w:eastAsia="黑体" w:cs="Times New Roman"/>
              <w:bCs w:val="0"/>
              <w:szCs w:val="32"/>
              <w:lang w:val="en-US" w:eastAsia="zh-CN"/>
            </w:rPr>
            <w:fldChar w:fldCharType="end"/>
          </w:r>
        </w:p>
        <w:p w14:paraId="64E379E3">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_Toc22874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2.3.1 对新媒体行业趋势和技术发展保持敏感度</w:t>
          </w:r>
          <w:r>
            <w:tab/>
          </w:r>
          <w:r>
            <w:fldChar w:fldCharType="begin"/>
          </w:r>
          <w:r>
            <w:instrText xml:space="preserve"> PAGEREF _Toc22874 \h </w:instrText>
          </w:r>
          <w:r>
            <w:fldChar w:fldCharType="separate"/>
          </w:r>
          <w:r>
            <w:t>12</w:t>
          </w:r>
          <w:r>
            <w:fldChar w:fldCharType="end"/>
          </w:r>
          <w:r>
            <w:rPr>
              <w:rFonts w:hint="eastAsia" w:ascii="黑体" w:hAnsi="黑体" w:eastAsia="黑体" w:cs="Times New Roman"/>
              <w:bCs w:val="0"/>
              <w:szCs w:val="32"/>
              <w:lang w:val="en-US" w:eastAsia="zh-CN"/>
            </w:rPr>
            <w:fldChar w:fldCharType="end"/>
          </w:r>
        </w:p>
        <w:p w14:paraId="5205A845">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_Toc9764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2.3.2 加强</w:t>
          </w:r>
          <w:r>
            <w:rPr>
              <w:rFonts w:hint="eastAsia" w:cs="黑体"/>
              <w:bCs w:val="0"/>
              <w:szCs w:val="24"/>
              <w:lang w:val="en-US" w:eastAsia="zh-CN"/>
            </w:rPr>
            <w:t>与外界</w:t>
          </w:r>
          <w:r>
            <w:rPr>
              <w:rFonts w:hint="eastAsia" w:ascii="黑体" w:hAnsi="黑体" w:eastAsia="黑体" w:cs="黑体"/>
              <w:bCs w:val="0"/>
              <w:szCs w:val="24"/>
              <w:lang w:val="en-US" w:eastAsia="zh-CN"/>
            </w:rPr>
            <w:t>沟通和协作以适应变化</w:t>
          </w:r>
          <w:r>
            <w:tab/>
          </w:r>
          <w:r>
            <w:fldChar w:fldCharType="begin"/>
          </w:r>
          <w:r>
            <w:instrText xml:space="preserve"> PAGEREF _Toc9764 \h </w:instrText>
          </w:r>
          <w:r>
            <w:fldChar w:fldCharType="separate"/>
          </w:r>
          <w:r>
            <w:t>13</w:t>
          </w:r>
          <w:r>
            <w:fldChar w:fldCharType="end"/>
          </w:r>
          <w:r>
            <w:rPr>
              <w:rFonts w:hint="eastAsia" w:ascii="黑体" w:hAnsi="黑体" w:eastAsia="黑体" w:cs="Times New Roman"/>
              <w:bCs w:val="0"/>
              <w:szCs w:val="32"/>
              <w:lang w:val="en-US" w:eastAsia="zh-CN"/>
            </w:rPr>
            <w:fldChar w:fldCharType="end"/>
          </w:r>
        </w:p>
        <w:p w14:paraId="2D664BDC">
          <w:pPr>
            <w:pStyle w:val="9"/>
            <w:tabs>
              <w:tab w:val="right" w:leader="dot" w:pos="8306"/>
              <w:tab w:val="clear" w:pos="1260"/>
              <w:tab w:val="clear" w:pos="8494"/>
            </w:tabs>
            <w:spacing w:beforeAutospacing="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_Toc2554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 xml:space="preserve">3 </w:t>
          </w:r>
          <w:r>
            <w:rPr>
              <w:rFonts w:hint="eastAsia" w:cs="Times New Roman"/>
              <w:bCs w:val="0"/>
              <w:szCs w:val="32"/>
              <w:lang w:val="en-US" w:eastAsia="zh-CN"/>
            </w:rPr>
            <w:t>新纪元下新媒体驱动传统行业营销的主要问题</w:t>
          </w:r>
          <w:r>
            <w:tab/>
          </w:r>
          <w:r>
            <w:fldChar w:fldCharType="begin"/>
          </w:r>
          <w:r>
            <w:instrText xml:space="preserve"> PAGEREF _Toc2554 \h </w:instrText>
          </w:r>
          <w:r>
            <w:fldChar w:fldCharType="separate"/>
          </w:r>
          <w:r>
            <w:t>14</w:t>
          </w:r>
          <w:r>
            <w:fldChar w:fldCharType="end"/>
          </w:r>
          <w:r>
            <w:rPr>
              <w:rFonts w:hint="eastAsia" w:ascii="黑体" w:hAnsi="黑体" w:eastAsia="黑体" w:cs="Times New Roman"/>
              <w:bCs w:val="0"/>
              <w:szCs w:val="32"/>
              <w:lang w:val="en-US" w:eastAsia="zh-CN"/>
            </w:rPr>
            <w:fldChar w:fldCharType="end"/>
          </w:r>
        </w:p>
        <w:p w14:paraId="390A51E9">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_Toc23116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3.1 </w:t>
          </w:r>
          <w:r>
            <w:rPr>
              <w:rFonts w:hint="eastAsia" w:cs="Times New Roman"/>
              <w:bCs w:val="0"/>
              <w:szCs w:val="28"/>
              <w:lang w:val="en-US" w:eastAsia="zh-CN"/>
            </w:rPr>
            <w:t>专业人才匮乏</w:t>
          </w:r>
          <w:r>
            <w:tab/>
          </w:r>
          <w:r>
            <w:fldChar w:fldCharType="begin"/>
          </w:r>
          <w:r>
            <w:instrText xml:space="preserve"> PAGEREF _Toc23116 \h </w:instrText>
          </w:r>
          <w:r>
            <w:fldChar w:fldCharType="separate"/>
          </w:r>
          <w:r>
            <w:t>14</w:t>
          </w:r>
          <w:r>
            <w:fldChar w:fldCharType="end"/>
          </w:r>
          <w:r>
            <w:rPr>
              <w:rFonts w:hint="eastAsia" w:ascii="黑体" w:hAnsi="黑体" w:eastAsia="黑体" w:cs="Times New Roman"/>
              <w:bCs w:val="0"/>
              <w:szCs w:val="32"/>
              <w:lang w:val="en-US" w:eastAsia="zh-CN"/>
            </w:rPr>
            <w:fldChar w:fldCharType="end"/>
          </w:r>
        </w:p>
        <w:p w14:paraId="437BD230">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_Toc9865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3.1.1 缺少符合型人才</w:t>
          </w:r>
          <w:r>
            <w:tab/>
          </w:r>
          <w:r>
            <w:fldChar w:fldCharType="begin"/>
          </w:r>
          <w:r>
            <w:instrText xml:space="preserve"> PAGEREF _Toc9865 \h </w:instrText>
          </w:r>
          <w:r>
            <w:fldChar w:fldCharType="separate"/>
          </w:r>
          <w:r>
            <w:t>14</w:t>
          </w:r>
          <w:r>
            <w:fldChar w:fldCharType="end"/>
          </w:r>
          <w:r>
            <w:rPr>
              <w:rFonts w:hint="eastAsia" w:ascii="黑体" w:hAnsi="黑体" w:eastAsia="黑体" w:cs="Times New Roman"/>
              <w:bCs w:val="0"/>
              <w:szCs w:val="32"/>
              <w:lang w:val="en-US" w:eastAsia="zh-CN"/>
            </w:rPr>
            <w:fldChar w:fldCharType="end"/>
          </w:r>
        </w:p>
        <w:p w14:paraId="1F5D17EA">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_Toc14377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3.1.2 市场人才缺口大</w:t>
          </w:r>
          <w:r>
            <w:tab/>
          </w:r>
          <w:r>
            <w:fldChar w:fldCharType="begin"/>
          </w:r>
          <w:r>
            <w:instrText xml:space="preserve"> PAGEREF _Toc14377 \h </w:instrText>
          </w:r>
          <w:r>
            <w:fldChar w:fldCharType="separate"/>
          </w:r>
          <w:r>
            <w:t>14</w:t>
          </w:r>
          <w:r>
            <w:fldChar w:fldCharType="end"/>
          </w:r>
          <w:r>
            <w:rPr>
              <w:rFonts w:hint="eastAsia" w:ascii="黑体" w:hAnsi="黑体" w:eastAsia="黑体" w:cs="Times New Roman"/>
              <w:bCs w:val="0"/>
              <w:szCs w:val="32"/>
              <w:lang w:val="en-US" w:eastAsia="zh-CN"/>
            </w:rPr>
            <w:fldChar w:fldCharType="end"/>
          </w:r>
        </w:p>
        <w:p w14:paraId="23F4A4B5">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_Toc22129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3.1.3 新媒体知识更新迭代速度过快</w:t>
          </w:r>
          <w:r>
            <w:tab/>
          </w:r>
          <w:r>
            <w:fldChar w:fldCharType="begin"/>
          </w:r>
          <w:r>
            <w:instrText xml:space="preserve"> PAGEREF _Toc22129 \h </w:instrText>
          </w:r>
          <w:r>
            <w:fldChar w:fldCharType="separate"/>
          </w:r>
          <w:r>
            <w:t>14</w:t>
          </w:r>
          <w:r>
            <w:fldChar w:fldCharType="end"/>
          </w:r>
          <w:r>
            <w:rPr>
              <w:rFonts w:hint="eastAsia" w:ascii="黑体" w:hAnsi="黑体" w:eastAsia="黑体" w:cs="Times New Roman"/>
              <w:bCs w:val="0"/>
              <w:szCs w:val="32"/>
              <w:lang w:val="en-US" w:eastAsia="zh-CN"/>
            </w:rPr>
            <w:fldChar w:fldCharType="end"/>
          </w:r>
        </w:p>
        <w:p w14:paraId="29EB3BB6">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_Toc8079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3.1.4 新媒体行业工资薪酬绩效标准差距较大</w:t>
          </w:r>
          <w:r>
            <w:tab/>
          </w:r>
          <w:r>
            <w:fldChar w:fldCharType="begin"/>
          </w:r>
          <w:r>
            <w:instrText xml:space="preserve"> PAGEREF _Toc8079 \h </w:instrText>
          </w:r>
          <w:r>
            <w:fldChar w:fldCharType="separate"/>
          </w:r>
          <w:r>
            <w:t>15</w:t>
          </w:r>
          <w:r>
            <w:fldChar w:fldCharType="end"/>
          </w:r>
          <w:r>
            <w:rPr>
              <w:rFonts w:hint="eastAsia" w:ascii="黑体" w:hAnsi="黑体" w:eastAsia="黑体" w:cs="Times New Roman"/>
              <w:bCs w:val="0"/>
              <w:szCs w:val="32"/>
              <w:lang w:val="en-US" w:eastAsia="zh-CN"/>
            </w:rPr>
            <w:fldChar w:fldCharType="end"/>
          </w:r>
        </w:p>
        <w:p w14:paraId="225339AC">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_Toc29739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3.2</w:t>
          </w:r>
          <w:r>
            <w:rPr>
              <w:rFonts w:hint="eastAsia" w:cs="Times New Roman"/>
              <w:bCs w:val="0"/>
              <w:szCs w:val="28"/>
              <w:lang w:val="en-US" w:eastAsia="zh-CN"/>
            </w:rPr>
            <w:t>观念转变困难</w:t>
          </w:r>
          <w:r>
            <w:tab/>
          </w:r>
          <w:r>
            <w:fldChar w:fldCharType="begin"/>
          </w:r>
          <w:r>
            <w:instrText xml:space="preserve"> PAGEREF _Toc29739 \h </w:instrText>
          </w:r>
          <w:r>
            <w:fldChar w:fldCharType="separate"/>
          </w:r>
          <w:r>
            <w:t>15</w:t>
          </w:r>
          <w:r>
            <w:fldChar w:fldCharType="end"/>
          </w:r>
          <w:r>
            <w:rPr>
              <w:rFonts w:hint="eastAsia" w:ascii="黑体" w:hAnsi="黑体" w:eastAsia="黑体" w:cs="Times New Roman"/>
              <w:bCs w:val="0"/>
              <w:szCs w:val="32"/>
              <w:lang w:val="en-US" w:eastAsia="zh-CN"/>
            </w:rPr>
            <w:fldChar w:fldCharType="end"/>
          </w:r>
        </w:p>
        <w:p w14:paraId="55126749">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_Toc15441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3.2.1 传统行业对新媒体营销认识不足</w:t>
          </w:r>
          <w:r>
            <w:tab/>
          </w:r>
          <w:r>
            <w:fldChar w:fldCharType="begin"/>
          </w:r>
          <w:r>
            <w:instrText xml:space="preserve"> PAGEREF _Toc15441 \h </w:instrText>
          </w:r>
          <w:r>
            <w:fldChar w:fldCharType="separate"/>
          </w:r>
          <w:r>
            <w:t>15</w:t>
          </w:r>
          <w:r>
            <w:fldChar w:fldCharType="end"/>
          </w:r>
          <w:r>
            <w:rPr>
              <w:rFonts w:hint="eastAsia" w:ascii="黑体" w:hAnsi="黑体" w:eastAsia="黑体" w:cs="Times New Roman"/>
              <w:bCs w:val="0"/>
              <w:szCs w:val="32"/>
              <w:lang w:val="en-US" w:eastAsia="zh-CN"/>
            </w:rPr>
            <w:fldChar w:fldCharType="end"/>
          </w:r>
        </w:p>
        <w:p w14:paraId="0671B4DD">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_Toc1665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3.2.2 新媒体团队协作门槛过高不好管理</w:t>
          </w:r>
          <w:r>
            <w:tab/>
          </w:r>
          <w:r>
            <w:fldChar w:fldCharType="begin"/>
          </w:r>
          <w:r>
            <w:instrText xml:space="preserve"> PAGEREF _Toc1665 \h </w:instrText>
          </w:r>
          <w:r>
            <w:fldChar w:fldCharType="separate"/>
          </w:r>
          <w:r>
            <w:t>15</w:t>
          </w:r>
          <w:r>
            <w:fldChar w:fldCharType="end"/>
          </w:r>
          <w:r>
            <w:rPr>
              <w:rFonts w:hint="eastAsia" w:ascii="黑体" w:hAnsi="黑体" w:eastAsia="黑体" w:cs="Times New Roman"/>
              <w:bCs w:val="0"/>
              <w:szCs w:val="32"/>
              <w:lang w:val="en-US" w:eastAsia="zh-CN"/>
            </w:rPr>
            <w:fldChar w:fldCharType="end"/>
          </w:r>
        </w:p>
        <w:p w14:paraId="7035CF6E">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_Toc3765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3.2.3 传统企业思想固化不善于调整营销策略</w:t>
          </w:r>
          <w:r>
            <w:tab/>
          </w:r>
          <w:r>
            <w:fldChar w:fldCharType="begin"/>
          </w:r>
          <w:r>
            <w:instrText xml:space="preserve"> PAGEREF _Toc3765 \h </w:instrText>
          </w:r>
          <w:r>
            <w:fldChar w:fldCharType="separate"/>
          </w:r>
          <w:r>
            <w:t>15</w:t>
          </w:r>
          <w:r>
            <w:fldChar w:fldCharType="end"/>
          </w:r>
          <w:r>
            <w:rPr>
              <w:rFonts w:hint="eastAsia" w:ascii="黑体" w:hAnsi="黑体" w:eastAsia="黑体" w:cs="Times New Roman"/>
              <w:bCs w:val="0"/>
              <w:szCs w:val="32"/>
              <w:lang w:val="en-US" w:eastAsia="zh-CN"/>
            </w:rPr>
            <w:fldChar w:fldCharType="end"/>
          </w:r>
        </w:p>
        <w:p w14:paraId="49646786">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_Toc26093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3.3 </w:t>
          </w:r>
          <w:r>
            <w:rPr>
              <w:rFonts w:hint="eastAsia" w:cs="Times New Roman"/>
              <w:bCs w:val="0"/>
              <w:szCs w:val="28"/>
              <w:lang w:val="en-US" w:eastAsia="zh-CN"/>
            </w:rPr>
            <w:t>融合程度不高</w:t>
          </w:r>
          <w:r>
            <w:tab/>
          </w:r>
          <w:r>
            <w:fldChar w:fldCharType="begin"/>
          </w:r>
          <w:r>
            <w:instrText xml:space="preserve"> PAGEREF _Toc26093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574E5331">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_Toc14584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3.3.1 传统行业与新媒体营销结合不够紧密</w:t>
          </w:r>
          <w:r>
            <w:tab/>
          </w:r>
          <w:r>
            <w:fldChar w:fldCharType="begin"/>
          </w:r>
          <w:r>
            <w:instrText xml:space="preserve"> PAGEREF _Toc14584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67E8BC0A">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_Toc23216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3.3.2 缺乏内循环的人才培养思维</w:t>
          </w:r>
          <w:r>
            <w:tab/>
          </w:r>
          <w:r>
            <w:fldChar w:fldCharType="begin"/>
          </w:r>
          <w:r>
            <w:instrText xml:space="preserve"> PAGEREF _Toc23216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78F855F3">
          <w:pPr>
            <w:pStyle w:val="6"/>
            <w:tabs>
              <w:tab w:val="right" w:leader="dot" w:pos="8306"/>
            </w:tabs>
            <w:ind w:left="0" w:leftChars="0" w:firstLine="480" w:firstLineChars="200"/>
            <w:rPr>
              <w:rFonts w:hint="eastAsia" w:ascii="黑体" w:hAnsi="黑体" w:eastAsia="黑体" w:cs="Times New Roman"/>
              <w:bCs w:val="0"/>
              <w:szCs w:val="32"/>
              <w:lang w:val="en-US" w:eastAsia="zh-CN"/>
            </w:rPr>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_Toc31845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3.3.3 缺乏新营销工具的使用及新</w:t>
          </w:r>
          <w:r>
            <w:rPr>
              <w:rFonts w:hint="default" w:ascii="黑体" w:hAnsi="黑体" w:eastAsia="黑体" w:cs="黑体"/>
              <w:bCs w:val="0"/>
              <w:szCs w:val="24"/>
              <w:lang w:val="en-US" w:eastAsia="zh-CN"/>
            </w:rPr>
            <w:t>行业洞察力</w:t>
          </w:r>
          <w:r>
            <w:tab/>
          </w:r>
          <w:r>
            <w:fldChar w:fldCharType="begin"/>
          </w:r>
          <w:r>
            <w:instrText xml:space="preserve"> PAGEREF _Toc31845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40458A6C">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_Toc26093 </w:instrText>
          </w:r>
          <w:r>
            <w:rPr>
              <w:rFonts w:hint="eastAsia" w:ascii="黑体" w:hAnsi="黑体" w:eastAsia="黑体" w:cs="Times New Roman"/>
              <w:bCs w:val="0"/>
              <w:szCs w:val="32"/>
              <w:lang w:val="en-US" w:eastAsia="zh-CN"/>
            </w:rPr>
            <w:fldChar w:fldCharType="separate"/>
          </w:r>
          <w:r>
            <w:rPr>
              <w:rFonts w:hint="eastAsia" w:cs="Times New Roman"/>
              <w:bCs w:val="0"/>
              <w:szCs w:val="28"/>
              <w:lang w:val="en-US" w:eastAsia="zh-CN"/>
            </w:rPr>
            <w:t>3</w:t>
          </w:r>
          <w:r>
            <w:rPr>
              <w:rFonts w:hint="eastAsia" w:ascii="黑体" w:hAnsi="黑体" w:eastAsia="黑体" w:cs="Times New Roman"/>
              <w:bCs w:val="0"/>
              <w:szCs w:val="28"/>
              <w:lang w:val="en-US" w:eastAsia="zh-CN"/>
            </w:rPr>
            <w:t>.</w:t>
          </w:r>
          <w:r>
            <w:rPr>
              <w:rFonts w:hint="eastAsia" w:cs="Times New Roman"/>
              <w:bCs w:val="0"/>
              <w:szCs w:val="28"/>
              <w:lang w:val="en-US" w:eastAsia="zh-CN"/>
            </w:rPr>
            <w:t>4</w:t>
          </w:r>
          <w:r>
            <w:rPr>
              <w:rFonts w:hint="eastAsia" w:ascii="黑体" w:hAnsi="黑体" w:eastAsia="黑体" w:cs="Times New Roman"/>
              <w:bCs w:val="0"/>
              <w:szCs w:val="28"/>
              <w:lang w:val="en-US" w:eastAsia="zh-CN"/>
            </w:rPr>
            <w:t xml:space="preserve"> </w:t>
          </w:r>
          <w:r>
            <w:rPr>
              <w:rFonts w:hint="eastAsia" w:cs="Times New Roman"/>
              <w:bCs w:val="0"/>
              <w:szCs w:val="28"/>
              <w:lang w:val="en-US" w:eastAsia="zh-CN"/>
            </w:rPr>
            <w:t>效果评估困难</w:t>
          </w:r>
          <w:r>
            <w:tab/>
          </w:r>
          <w:r>
            <w:fldChar w:fldCharType="begin"/>
          </w:r>
          <w:r>
            <w:instrText xml:space="preserve"> PAGEREF _Toc26093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22306121">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_Toc31845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3.4.1 难以准确衡量新媒体营销对传统行业的实际效果</w:t>
          </w:r>
          <w:r>
            <w:tab/>
          </w:r>
          <w:r>
            <w:fldChar w:fldCharType="begin"/>
          </w:r>
          <w:r>
            <w:instrText xml:space="preserve"> PAGEREF _Toc31845 \h </w:instrText>
          </w:r>
          <w:r>
            <w:fldChar w:fldCharType="separate"/>
          </w:r>
          <w:r>
            <w:t>16</w:t>
          </w:r>
          <w:r>
            <w:fldChar w:fldCharType="end"/>
          </w:r>
          <w:r>
            <w:rPr>
              <w:rFonts w:hint="eastAsia" w:ascii="黑体" w:hAnsi="黑体" w:eastAsia="黑体" w:cs="Times New Roman"/>
              <w:bCs w:val="0"/>
              <w:szCs w:val="32"/>
              <w:lang w:val="en-US" w:eastAsia="zh-CN"/>
            </w:rPr>
            <w:fldChar w:fldCharType="end"/>
          </w:r>
        </w:p>
        <w:p w14:paraId="597F1810">
          <w:pPr>
            <w:pStyle w:val="9"/>
            <w:tabs>
              <w:tab w:val="right" w:leader="dot" w:pos="8306"/>
              <w:tab w:val="clear" w:pos="1260"/>
              <w:tab w:val="clear" w:pos="8494"/>
            </w:tabs>
            <w:spacing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_Toc32203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4  新媒体</w:t>
          </w:r>
          <w:r>
            <w:rPr>
              <w:rFonts w:hint="eastAsia" w:cs="Times New Roman"/>
              <w:bCs w:val="0"/>
              <w:szCs w:val="32"/>
              <w:lang w:val="en-US" w:eastAsia="zh-CN"/>
            </w:rPr>
            <w:t>驱动传统行业的营销</w:t>
          </w:r>
          <w:r>
            <w:rPr>
              <w:rFonts w:hint="eastAsia" w:ascii="黑体" w:hAnsi="黑体" w:eastAsia="黑体" w:cs="Times New Roman"/>
              <w:bCs w:val="0"/>
              <w:szCs w:val="32"/>
              <w:lang w:val="en-US" w:eastAsia="zh-CN"/>
            </w:rPr>
            <w:t>策略</w:t>
          </w:r>
          <w:r>
            <w:tab/>
          </w:r>
          <w:r>
            <w:fldChar w:fldCharType="begin"/>
          </w:r>
          <w:r>
            <w:instrText xml:space="preserve"> PAGEREF _Toc32203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047388BD">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_Toc5356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 xml:space="preserve">4.1 </w:t>
          </w:r>
          <w:r>
            <w:rPr>
              <w:rFonts w:hint="eastAsia" w:cs="Times New Roman"/>
              <w:bCs w:val="0"/>
              <w:szCs w:val="28"/>
              <w:lang w:val="en-US" w:eastAsia="zh-CN"/>
            </w:rPr>
            <w:t>加强人才培养与引进</w:t>
          </w:r>
          <w:r>
            <w:tab/>
          </w:r>
          <w:r>
            <w:fldChar w:fldCharType="begin"/>
          </w:r>
          <w:r>
            <w:instrText xml:space="preserve"> PAGEREF _Toc5356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29FD59C3">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_Toc1790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4.1.1 专业技能培养</w:t>
          </w:r>
          <w:r>
            <w:tab/>
          </w:r>
          <w:r>
            <w:fldChar w:fldCharType="begin"/>
          </w:r>
          <w:r>
            <w:instrText xml:space="preserve"> PAGEREF _Toc1790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013EBC8F">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_Toc11801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4.1.2 创意思维培养</w:t>
          </w:r>
          <w:r>
            <w:tab/>
          </w:r>
          <w:r>
            <w:fldChar w:fldCharType="begin"/>
          </w:r>
          <w:r>
            <w:instrText xml:space="preserve"> PAGEREF _Toc11801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70B379D5">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_Toc5574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4.1.3 打造专业新媒体营销团队</w:t>
          </w:r>
          <w:r>
            <w:tab/>
          </w:r>
          <w:r>
            <w:fldChar w:fldCharType="begin"/>
          </w:r>
          <w:r>
            <w:instrText xml:space="preserve"> PAGEREF _Toc5574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2A6B6FDD">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_Toc2291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 xml:space="preserve">4.1.4 </w:t>
          </w:r>
          <w:r>
            <w:rPr>
              <w:rFonts w:hint="default" w:ascii="黑体" w:hAnsi="黑体" w:eastAsia="黑体" w:cs="黑体"/>
              <w:bCs w:val="0"/>
              <w:szCs w:val="24"/>
              <w:lang w:val="en-US" w:eastAsia="zh-CN"/>
            </w:rPr>
            <w:t>数据分析能力</w:t>
          </w:r>
          <w:r>
            <w:tab/>
          </w:r>
          <w:r>
            <w:fldChar w:fldCharType="begin"/>
          </w:r>
          <w:r>
            <w:instrText xml:space="preserve"> PAGEREF _Toc2291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42283977">
          <w:pPr>
            <w:pStyle w:val="6"/>
            <w:tabs>
              <w:tab w:val="right" w:leader="dot" w:pos="8306"/>
            </w:tabs>
            <w:spacing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_Toc11582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4.1.5 引进新媒体行业精英</w:t>
          </w:r>
          <w:r>
            <w:tab/>
          </w:r>
          <w:r>
            <w:fldChar w:fldCharType="begin"/>
          </w:r>
          <w:r>
            <w:instrText xml:space="preserve"> PAGEREF _Toc11582 \h </w:instrText>
          </w:r>
          <w:r>
            <w:fldChar w:fldCharType="separate"/>
          </w:r>
          <w:r>
            <w:t>17</w:t>
          </w:r>
          <w:r>
            <w:fldChar w:fldCharType="end"/>
          </w:r>
          <w:r>
            <w:rPr>
              <w:rFonts w:hint="eastAsia" w:ascii="黑体" w:hAnsi="黑体" w:eastAsia="黑体" w:cs="Times New Roman"/>
              <w:bCs w:val="0"/>
              <w:szCs w:val="32"/>
              <w:lang w:val="en-US" w:eastAsia="zh-CN"/>
            </w:rPr>
            <w:fldChar w:fldCharType="end"/>
          </w:r>
        </w:p>
        <w:p w14:paraId="773C529D">
          <w:pPr>
            <w:pStyle w:val="11"/>
            <w:tabs>
              <w:tab w:val="right" w:leader="dot" w:pos="8306"/>
              <w:tab w:val="clear" w:pos="8494"/>
            </w:tabs>
            <w:spacing w:before="0" w:beforeAutospacing="0" w:after="0"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_Toc4503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4.2</w:t>
          </w:r>
          <w:r>
            <w:rPr>
              <w:rFonts w:hint="eastAsia" w:cs="Times New Roman"/>
              <w:bCs w:val="0"/>
              <w:szCs w:val="28"/>
              <w:lang w:val="en-US" w:eastAsia="zh-CN"/>
            </w:rPr>
            <w:t>更新营销观念</w:t>
          </w:r>
          <w:r>
            <w:tab/>
          </w:r>
          <w:r>
            <w:fldChar w:fldCharType="begin"/>
          </w:r>
          <w:r>
            <w:instrText xml:space="preserve"> PAGEREF _Toc4503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5B452D9F">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_Toc20694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4.2.1 建立以客户为中心的营销观念</w:t>
          </w:r>
          <w:r>
            <w:tab/>
          </w:r>
          <w:r>
            <w:fldChar w:fldCharType="begin"/>
          </w:r>
          <w:r>
            <w:instrText xml:space="preserve"> PAGEREF _Toc20694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124F3D2F">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_Toc28266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4.2.2 积极拥抱新媒体的营销思维</w:t>
          </w:r>
          <w:r>
            <w:tab/>
          </w:r>
          <w:r>
            <w:fldChar w:fldCharType="begin"/>
          </w:r>
          <w:r>
            <w:instrText xml:space="preserve"> PAGEREF _Toc28266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4513EEA1">
          <w:pPr>
            <w:pStyle w:val="6"/>
            <w:tabs>
              <w:tab w:val="right" w:leader="dot" w:pos="8306"/>
            </w:tabs>
            <w:spacing w:after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_Toc25386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4.2.3 掌握新媒体全平台的运营流程</w:t>
          </w:r>
          <w:r>
            <w:tab/>
          </w:r>
          <w:r>
            <w:fldChar w:fldCharType="begin"/>
          </w:r>
          <w:r>
            <w:instrText xml:space="preserve"> PAGEREF _Toc25386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1976E9F3">
          <w:pPr>
            <w:pStyle w:val="11"/>
            <w:tabs>
              <w:tab w:val="right" w:leader="dot" w:pos="8306"/>
              <w:tab w:val="clear" w:pos="8494"/>
            </w:tabs>
            <w:spacing w:before="0" w:beforeAutospacing="0" w:after="55" w:afterAutospacing="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_Toc15906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28"/>
              <w:lang w:val="en-US" w:eastAsia="zh-CN"/>
            </w:rPr>
            <w:t>4.3</w:t>
          </w:r>
          <w:r>
            <w:rPr>
              <w:rFonts w:hint="eastAsia" w:cs="Times New Roman"/>
              <w:bCs w:val="0"/>
              <w:szCs w:val="28"/>
              <w:lang w:val="en-US" w:eastAsia="zh-CN"/>
            </w:rPr>
            <w:t>建立新媒体评估体系</w:t>
          </w:r>
          <w:r>
            <w:tab/>
          </w:r>
          <w:r>
            <w:fldChar w:fldCharType="begin"/>
          </w:r>
          <w:r>
            <w:instrText xml:space="preserve"> PAGEREF _Toc15906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4CD5A926">
          <w:pPr>
            <w:pStyle w:val="6"/>
            <w:tabs>
              <w:tab w:val="right" w:leader="dot" w:pos="8306"/>
            </w:tabs>
            <w:spacing w:beforeAutospacing="0"/>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_Toc23677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4.3.1 新媒体目标评估</w:t>
          </w:r>
          <w:r>
            <w:tab/>
          </w:r>
          <w:r>
            <w:fldChar w:fldCharType="begin"/>
          </w:r>
          <w:r>
            <w:instrText xml:space="preserve"> PAGEREF _Toc23677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72857396">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_Toc8920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4.3.2 新媒体运营流程评估</w:t>
          </w:r>
          <w:r>
            <w:tab/>
          </w:r>
          <w:r>
            <w:fldChar w:fldCharType="begin"/>
          </w:r>
          <w:r>
            <w:instrText xml:space="preserve"> PAGEREF _Toc8920 \h </w:instrText>
          </w:r>
          <w:r>
            <w:fldChar w:fldCharType="separate"/>
          </w:r>
          <w:r>
            <w:t>18</w:t>
          </w:r>
          <w:r>
            <w:fldChar w:fldCharType="end"/>
          </w:r>
          <w:r>
            <w:rPr>
              <w:rFonts w:hint="eastAsia" w:ascii="黑体" w:hAnsi="黑体" w:eastAsia="黑体" w:cs="Times New Roman"/>
              <w:bCs w:val="0"/>
              <w:szCs w:val="32"/>
              <w:lang w:val="en-US" w:eastAsia="zh-CN"/>
            </w:rPr>
            <w:fldChar w:fldCharType="end"/>
          </w:r>
        </w:p>
        <w:p w14:paraId="144A7A4C">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_Toc7673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4.3.3 新媒体复盘流程评估</w:t>
          </w:r>
          <w:r>
            <w:tab/>
          </w:r>
          <w:r>
            <w:fldChar w:fldCharType="begin"/>
          </w:r>
          <w:r>
            <w:instrText xml:space="preserve"> PAGEREF _Toc7673 \h </w:instrText>
          </w:r>
          <w:r>
            <w:fldChar w:fldCharType="separate"/>
          </w:r>
          <w:r>
            <w:t>19</w:t>
          </w:r>
          <w:r>
            <w:fldChar w:fldCharType="end"/>
          </w:r>
          <w:r>
            <w:rPr>
              <w:rFonts w:hint="eastAsia" w:ascii="黑体" w:hAnsi="黑体" w:eastAsia="黑体" w:cs="Times New Roman"/>
              <w:bCs w:val="0"/>
              <w:szCs w:val="32"/>
              <w:lang w:val="en-US" w:eastAsia="zh-CN"/>
            </w:rPr>
            <w:fldChar w:fldCharType="end"/>
          </w:r>
        </w:p>
        <w:p w14:paraId="7F05B200">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_Toc27311 </w:instrText>
          </w:r>
          <w:r>
            <w:rPr>
              <w:rFonts w:hint="eastAsia" w:ascii="黑体" w:hAnsi="黑体" w:eastAsia="黑体" w:cs="Times New Roman"/>
              <w:bCs w:val="0"/>
              <w:szCs w:val="32"/>
              <w:lang w:val="en-US" w:eastAsia="zh-CN"/>
            </w:rPr>
            <w:fldChar w:fldCharType="separate"/>
          </w:r>
          <w:r>
            <w:rPr>
              <w:rFonts w:hint="eastAsia" w:ascii="黑体" w:hAnsi="黑体" w:eastAsia="黑体" w:cs="黑体"/>
              <w:bCs w:val="0"/>
              <w:szCs w:val="24"/>
              <w:lang w:val="en-US" w:eastAsia="zh-CN"/>
            </w:rPr>
            <w:t>4.3.4 新媒体培训流程评估</w:t>
          </w:r>
          <w:r>
            <w:tab/>
          </w:r>
          <w:r>
            <w:fldChar w:fldCharType="begin"/>
          </w:r>
          <w:r>
            <w:instrText xml:space="preserve"> PAGEREF _Toc27311 \h </w:instrText>
          </w:r>
          <w:r>
            <w:fldChar w:fldCharType="separate"/>
          </w:r>
          <w:r>
            <w:t>19</w:t>
          </w:r>
          <w:r>
            <w:fldChar w:fldCharType="end"/>
          </w:r>
          <w:r>
            <w:rPr>
              <w:rFonts w:hint="eastAsia" w:ascii="黑体" w:hAnsi="黑体" w:eastAsia="黑体" w:cs="Times New Roman"/>
              <w:bCs w:val="0"/>
              <w:szCs w:val="32"/>
              <w:lang w:val="en-US" w:eastAsia="zh-CN"/>
            </w:rPr>
            <w:fldChar w:fldCharType="end"/>
          </w:r>
        </w:p>
        <w:p w14:paraId="780AC4AC">
          <w:pPr>
            <w:pStyle w:val="6"/>
            <w:tabs>
              <w:tab w:val="right" w:leader="dot" w:pos="8306"/>
            </w:tabs>
            <w:ind w:left="0" w:leftChars="0" w:firstLine="480" w:firstLineChars="200"/>
            <w:rPr>
              <w:rFonts w:hint="eastAsia" w:ascii="黑体" w:hAnsi="黑体" w:eastAsia="黑体" w:cs="Times New Roman"/>
              <w:bCs w:val="0"/>
              <w:szCs w:val="32"/>
              <w:lang w:val="en-US" w:eastAsia="zh-CN"/>
            </w:rPr>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_Toc28284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5  新媒体赋能传统行业营销策略的总结与展望</w:t>
          </w:r>
          <w:r>
            <w:rPr>
              <w:rFonts w:hint="eastAsia" w:ascii="黑体" w:hAnsi="黑体" w:eastAsia="黑体" w:cs="Times New Roman"/>
              <w:bCs w:val="0"/>
              <w:szCs w:val="32"/>
              <w:lang w:val="en-US" w:eastAsia="zh-CN"/>
            </w:rPr>
            <w:tab/>
          </w: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PAGEREF _Toc28284 \h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19</w:t>
          </w:r>
          <w:r>
            <w:rPr>
              <w:rFonts w:hint="eastAsia" w:ascii="黑体" w:hAnsi="黑体" w:eastAsia="黑体" w:cs="Times New Roman"/>
              <w:bCs w:val="0"/>
              <w:szCs w:val="32"/>
              <w:lang w:val="en-US" w:eastAsia="zh-CN"/>
            </w:rPr>
            <w:fldChar w:fldCharType="end"/>
          </w:r>
          <w:r>
            <w:rPr>
              <w:rFonts w:hint="eastAsia" w:ascii="黑体" w:hAnsi="黑体" w:eastAsia="黑体" w:cs="Times New Roman"/>
              <w:bCs w:val="0"/>
              <w:szCs w:val="32"/>
              <w:lang w:val="en-US" w:eastAsia="zh-CN"/>
            </w:rPr>
            <w:fldChar w:fldCharType="end"/>
          </w:r>
        </w:p>
        <w:p w14:paraId="692D0320">
          <w:pPr>
            <w:pStyle w:val="6"/>
            <w:tabs>
              <w:tab w:val="right" w:leader="dot" w:pos="8306"/>
            </w:tabs>
            <w:ind w:left="0" w:leftChars="0" w:firstLine="480" w:firstLineChars="200"/>
            <w:rPr>
              <w:rFonts w:hint="eastAsia" w:ascii="黑体" w:hAnsi="黑体" w:eastAsia="黑体" w:cs="Times New Roman"/>
              <w:bCs w:val="0"/>
              <w:szCs w:val="32"/>
              <w:lang w:val="en-US" w:eastAsia="zh-CN"/>
            </w:rPr>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_Toc23677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5.1.1 总结研究成果</w:t>
          </w:r>
          <w:r>
            <w:rPr>
              <w:rFonts w:hint="eastAsia" w:ascii="黑体" w:hAnsi="黑体" w:eastAsia="黑体" w:cs="Times New Roman"/>
              <w:bCs w:val="0"/>
              <w:szCs w:val="32"/>
              <w:lang w:val="en-US" w:eastAsia="zh-CN"/>
            </w:rPr>
            <w:tab/>
          </w: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PAGEREF _Toc23677 \h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18</w:t>
          </w:r>
          <w:r>
            <w:rPr>
              <w:rFonts w:hint="eastAsia" w:ascii="黑体" w:hAnsi="黑体" w:eastAsia="黑体" w:cs="Times New Roman"/>
              <w:bCs w:val="0"/>
              <w:szCs w:val="32"/>
              <w:lang w:val="en-US" w:eastAsia="zh-CN"/>
            </w:rPr>
            <w:fldChar w:fldCharType="end"/>
          </w:r>
          <w:r>
            <w:rPr>
              <w:rFonts w:hint="eastAsia" w:ascii="黑体" w:hAnsi="黑体" w:eastAsia="黑体" w:cs="Times New Roman"/>
              <w:bCs w:val="0"/>
              <w:szCs w:val="32"/>
              <w:lang w:val="en-US" w:eastAsia="zh-CN"/>
            </w:rPr>
            <w:fldChar w:fldCharType="end"/>
          </w:r>
        </w:p>
        <w:p w14:paraId="6F8DD163">
          <w:pPr>
            <w:pStyle w:val="6"/>
            <w:tabs>
              <w:tab w:val="right" w:leader="dot" w:pos="8306"/>
            </w:tabs>
            <w:ind w:left="0" w:leftChars="0" w:firstLine="480" w:firstLineChars="200"/>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_Toc23677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5.1.2 对未来的展望</w:t>
          </w:r>
          <w:r>
            <w:rPr>
              <w:rFonts w:hint="eastAsia" w:ascii="黑体" w:hAnsi="黑体" w:eastAsia="黑体" w:cs="Times New Roman"/>
              <w:bCs w:val="0"/>
              <w:szCs w:val="32"/>
              <w:lang w:val="en-US" w:eastAsia="zh-CN"/>
            </w:rPr>
            <w:tab/>
          </w: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PAGEREF _Toc23677 \h </w:instrText>
          </w:r>
          <w:r>
            <w:rPr>
              <w:rFonts w:hint="eastAsia" w:ascii="黑体" w:hAnsi="黑体" w:eastAsia="黑体" w:cs="Times New Roman"/>
              <w:bCs w:val="0"/>
              <w:szCs w:val="32"/>
              <w:lang w:val="en-US" w:eastAsia="zh-CN"/>
            </w:rPr>
            <w:fldChar w:fldCharType="separate"/>
          </w:r>
          <w:r>
            <w:rPr>
              <w:rFonts w:hint="eastAsia" w:ascii="黑体" w:hAnsi="黑体" w:eastAsia="黑体" w:cs="Times New Roman"/>
              <w:bCs w:val="0"/>
              <w:szCs w:val="32"/>
              <w:lang w:val="en-US" w:eastAsia="zh-CN"/>
            </w:rPr>
            <w:t>18</w:t>
          </w:r>
          <w:r>
            <w:rPr>
              <w:rFonts w:hint="eastAsia" w:ascii="黑体" w:hAnsi="黑体" w:eastAsia="黑体" w:cs="Times New Roman"/>
              <w:bCs w:val="0"/>
              <w:szCs w:val="32"/>
              <w:lang w:val="en-US" w:eastAsia="zh-CN"/>
            </w:rPr>
            <w:fldChar w:fldCharType="end"/>
          </w:r>
          <w:r>
            <w:rPr>
              <w:rFonts w:hint="eastAsia" w:ascii="黑体" w:hAnsi="黑体" w:eastAsia="黑体" w:cs="Times New Roman"/>
              <w:bCs w:val="0"/>
              <w:szCs w:val="32"/>
              <w:lang w:val="en-US" w:eastAsia="zh-CN"/>
            </w:rPr>
            <w:fldChar w:fldCharType="end"/>
          </w:r>
        </w:p>
        <w:p w14:paraId="75F039DF">
          <w:pPr>
            <w:pStyle w:val="9"/>
            <w:tabs>
              <w:tab w:val="right" w:leader="dot" w:pos="8306"/>
              <w:tab w:val="clear" w:pos="1260"/>
              <w:tab w:val="clear" w:pos="8494"/>
            </w:tabs>
          </w:pPr>
          <w:r>
            <w:rPr>
              <w:rFonts w:hint="eastAsia" w:ascii="黑体" w:hAnsi="黑体" w:eastAsia="黑体" w:cs="Times New Roman"/>
              <w:bCs w:val="0"/>
              <w:szCs w:val="32"/>
              <w:lang w:val="en-US" w:eastAsia="zh-CN"/>
            </w:rPr>
            <w:fldChar w:fldCharType="begin"/>
          </w:r>
          <w:r>
            <w:rPr>
              <w:rFonts w:hint="eastAsia" w:ascii="黑体" w:hAnsi="黑体" w:eastAsia="黑体" w:cs="Times New Roman"/>
              <w:bCs w:val="0"/>
              <w:szCs w:val="32"/>
              <w:lang w:val="en-US" w:eastAsia="zh-CN"/>
            </w:rPr>
            <w:instrText xml:space="preserve"> HYPERLINK \l _Toc2129 </w:instrText>
          </w:r>
          <w:r>
            <w:rPr>
              <w:rFonts w:hint="eastAsia" w:ascii="黑体" w:hAnsi="黑体" w:eastAsia="黑体" w:cs="Times New Roman"/>
              <w:bCs w:val="0"/>
              <w:szCs w:val="32"/>
              <w:lang w:val="en-US" w:eastAsia="zh-CN"/>
            </w:rPr>
            <w:fldChar w:fldCharType="separate"/>
          </w:r>
          <w:r>
            <w:rPr>
              <w:rFonts w:hint="eastAsia" w:ascii="黑体" w:hAnsi="Times New Roman" w:eastAsia="黑体" w:cs="Times New Roman"/>
              <w:kern w:val="0"/>
              <w:szCs w:val="32"/>
              <w:lang w:val="en-US" w:eastAsia="zh-CN"/>
            </w:rPr>
            <w:t>参考文献</w:t>
          </w:r>
          <w:r>
            <w:tab/>
          </w:r>
          <w:r>
            <w:fldChar w:fldCharType="begin"/>
          </w:r>
          <w:r>
            <w:instrText xml:space="preserve"> PAGEREF _Toc2129 \h </w:instrText>
          </w:r>
          <w:r>
            <w:fldChar w:fldCharType="separate"/>
          </w:r>
          <w:r>
            <w:t>20</w:t>
          </w:r>
          <w:r>
            <w:fldChar w:fldCharType="end"/>
          </w:r>
          <w:r>
            <w:rPr>
              <w:rFonts w:hint="eastAsia" w:ascii="黑体" w:hAnsi="黑体" w:eastAsia="黑体" w:cs="Times New Roman"/>
              <w:bCs w:val="0"/>
              <w:szCs w:val="32"/>
              <w:lang w:val="en-US" w:eastAsia="zh-CN"/>
            </w:rPr>
            <w:fldChar w:fldCharType="end"/>
          </w:r>
        </w:p>
        <w:p w14:paraId="0487B71F">
          <w:pPr>
            <w:pStyle w:val="2"/>
            <w:pageBreakBefore w:val="0"/>
            <w:kinsoku/>
            <w:wordWrap/>
            <w:overflowPunct/>
            <w:topLinePunct w:val="0"/>
            <w:bidi w:val="0"/>
            <w:snapToGrid/>
            <w:spacing w:before="480" w:after="480" w:line="360" w:lineRule="auto"/>
            <w:jc w:val="both"/>
            <w:textAlignment w:val="auto"/>
            <w:outlineLvl w:val="9"/>
            <w:rPr>
              <w:rFonts w:hint="eastAsia" w:ascii="黑体" w:hAnsi="黑体" w:eastAsia="黑体" w:cs="Times New Roman"/>
              <w:b w:val="0"/>
              <w:bCs w:val="0"/>
              <w:sz w:val="32"/>
              <w:szCs w:val="32"/>
              <w:lang w:val="en-US" w:eastAsia="zh-CN"/>
            </w:rPr>
          </w:pPr>
          <w:r>
            <w:rPr>
              <w:rFonts w:hint="eastAsia" w:ascii="黑体" w:hAnsi="黑体" w:eastAsia="黑体" w:cs="Times New Roman"/>
              <w:bCs w:val="0"/>
              <w:szCs w:val="32"/>
              <w:lang w:val="en-US" w:eastAsia="zh-CN"/>
            </w:rPr>
            <w:fldChar w:fldCharType="end"/>
          </w:r>
        </w:p>
      </w:sdtContent>
    </w:sdt>
    <w:p w14:paraId="27E3044F">
      <w:pPr>
        <w:pageBreakBefore w:val="0"/>
        <w:numPr>
          <w:ilvl w:val="0"/>
          <w:numId w:val="1"/>
        </w:numPr>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新媒体行业企业加强拓展市场覆盖的重要性</w:t>
      </w:r>
    </w:p>
    <w:p w14:paraId="7A793BAA">
      <w:pPr>
        <w:pageBreakBefore w:val="0"/>
        <w:numPr>
          <w:numId w:val="0"/>
        </w:numPr>
        <w:kinsoku/>
        <w:wordWrap/>
        <w:overflowPunct/>
        <w:topLinePunct w:val="0"/>
        <w:autoSpaceDE/>
        <w:autoSpaceDN/>
        <w:bidi w:val="0"/>
        <w:spacing w:line="360" w:lineRule="auto"/>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在当今数字化时代，新媒体为传统行业加强市场覆盖提供了强大的助力。它不仅提升了与消费者的互动，还提高了营销触达率。</w:t>
      </w:r>
    </w:p>
    <w:p w14:paraId="5C77F90E">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1.1 加强营销互动性利于提升与消费者参与度</w:t>
      </w:r>
    </w:p>
    <w:p w14:paraId="3C4AE2C1">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在当今新媒体蓬勃发展的时代，消费者的角色已发生了重大转变，他们不再是单纯的信息接收者，而是成为了积极的参与者。新媒体平台犹如一座桥梁，为企业与消费者之间的互动交流搭建起了便捷的通道。企业能够借助社交媒体、在线论坛等多样的新媒体工具，与消费者展开实时且紧密的互动。通过这种互动，企业可以深入了解消费者的内心需求和宝贵意见，进而提升消费者的参与热情和满意度，实现双方的共赢。</w:t>
      </w:r>
      <w:r>
        <w:rPr>
          <w:rFonts w:hint="eastAsia" w:cs="Times New Roman"/>
          <w:color w:val="auto"/>
          <w:sz w:val="24"/>
          <w:szCs w:val="24"/>
          <w:lang w:val="en-US" w:eastAsia="zh-CN"/>
        </w:rPr>
        <w:t>列如</w:t>
      </w:r>
      <w:r>
        <w:rPr>
          <w:rFonts w:hint="eastAsia" w:ascii="Times New Roman" w:hAnsi="Times New Roman" w:eastAsia="宋体" w:cs="Times New Roman"/>
          <w:color w:val="auto"/>
          <w:sz w:val="24"/>
          <w:szCs w:val="24"/>
          <w:lang w:val="en-US" w:eastAsia="zh-CN"/>
        </w:rPr>
        <w:t>：</w:t>
      </w:r>
    </w:p>
    <w:p w14:paraId="4BEA2ED2">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 线上问答活动：通过线上平台，让消费者提出问题，企业及时解答。</w:t>
      </w:r>
    </w:p>
    <w:p w14:paraId="5A2BB8D4">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 互动游戏：设计有趣的游戏，让消费者在游戏中了解产品或服务。</w:t>
      </w:r>
    </w:p>
    <w:p w14:paraId="59CD363E">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 消费者创作内容征集：鼓励消费者分享自己与产品相关的故事、照片或视频等。</w:t>
      </w:r>
    </w:p>
    <w:p w14:paraId="618066AB">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4. 直播互动：通过直播与消费者实时互动，解答疑问，展示产品。</w:t>
      </w:r>
    </w:p>
    <w:p w14:paraId="5D0A1969">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5. 投票活动：就某个话题或产品相关问题让消费者投票。</w:t>
      </w:r>
    </w:p>
    <w:p w14:paraId="11D4E992">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6. 抽奖活动：设置吸引人的奖品，吸引消费者参与。</w:t>
      </w:r>
    </w:p>
    <w:p w14:paraId="654B7583">
      <w:pPr>
        <w:keepNext w:val="0"/>
        <w:keepLines w:val="0"/>
        <w:widowControl/>
        <w:suppressLineNumbers w:val="0"/>
        <w:ind w:firstLine="480" w:firstLineChars="200"/>
        <w:jc w:val="lef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7. 社群互动：在社群中组织讨论、分享等活动。</w:t>
      </w:r>
    </w:p>
    <w:p w14:paraId="1CB5627F">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1.1.1 有利于传播效率提升营销触达率</w:t>
      </w:r>
    </w:p>
    <w:p w14:paraId="71D659A7">
      <w:pPr>
        <w:keepNext w:val="0"/>
        <w:keepLines w:val="0"/>
        <w:widowControl/>
        <w:suppressLineNumbers w:val="0"/>
        <w:ind w:firstLine="420" w:firstLineChars="0"/>
        <w:jc w:val="left"/>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新媒体确实展现出了其独特的优势，其传播速度之迅捷、覆盖范围之广泛令人瞩目。在极短的时间内，企业的营销信息能够迅速传递至众多潜在客户手中。与传统媒体相较，新媒体在营销触达率方面更具优势，能够更有力地提升企业的品牌声誉，扩大其在市场中的占有份额。新媒体犹如一股强大的力量，推动着企业在市场竞争中破浪前行，使企业的营销信息能够更广泛、更深入地触及目标受众，为企业的发展注入源源不断的活力。</w:t>
      </w:r>
      <w:r>
        <w:rPr>
          <w:rFonts w:hint="eastAsia" w:cs="Times New Roman"/>
          <w:color w:val="auto"/>
          <w:sz w:val="24"/>
          <w:szCs w:val="24"/>
          <w:lang w:val="en-US" w:eastAsia="zh-CN"/>
        </w:rPr>
        <w:t>从选题、创意到呈现、都要精心设计，传递独特、有价值的内容、确保准确性和质量。</w:t>
      </w:r>
      <w:r>
        <w:rPr>
          <w:rFonts w:ascii="宋体" w:hAnsi="宋体" w:eastAsia="宋体" w:cs="宋体"/>
          <w:kern w:val="0"/>
          <w:sz w:val="24"/>
          <w:szCs w:val="24"/>
          <w:lang w:val="en-US" w:eastAsia="zh-CN" w:bidi="ar"/>
        </w:rPr>
        <w:t>新媒体的传播速度极快，可以在短时间内将信息传递给大量的受众。例如，一条热门的抖音视频可以在几个小时内获得数百万的播放量。对于传统行业来说，利用新媒体平台发布产品信息、促销活动等，可以迅速提高信息的传播效率。以美妆品牌为例，通过在小红书上发布产品试用心得和美妆教程，吸引了大量用户的关注。用户可以通过点赞、评论、分享等方式，将这些内容传播给更多的人，从而扩大了品牌的影响力。</w:t>
      </w:r>
    </w:p>
    <w:p w14:paraId="44535193">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1.1.2 有利于促进塑造品牌形象提升知名度</w:t>
      </w:r>
    </w:p>
    <w:p w14:paraId="6ECA12AC">
      <w:pPr>
        <w:keepNext w:val="0"/>
        <w:keepLines w:val="0"/>
        <w:widowControl/>
        <w:suppressLineNumbers w:val="0"/>
        <w:ind w:firstLine="420" w:firstLineChars="0"/>
        <w:jc w:val="left"/>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新媒体平台为企业提供了绝佳的机会来展现品牌形象。企业借助这一广阔空间，通过发布精心打造的优质内容，以及策划丰富多彩的线上活动等方式，全方位地塑造积极、正面且令人向往的品牌形象</w:t>
      </w:r>
      <w:r>
        <w:rPr>
          <w:rFonts w:hint="eastAsia" w:cs="Times New Roman"/>
          <w:color w:val="auto"/>
          <w:sz w:val="24"/>
          <w:szCs w:val="24"/>
          <w:lang w:val="en-US" w:eastAsia="zh-CN"/>
        </w:rPr>
        <w:t>。打造出企业IP，人设IP，品牌IP等。</w:t>
      </w:r>
      <w:r>
        <w:rPr>
          <w:rFonts w:hint="eastAsia" w:ascii="Times New Roman" w:hAnsi="Times New Roman" w:eastAsia="宋体" w:cs="Times New Roman"/>
          <w:color w:val="auto"/>
          <w:sz w:val="24"/>
          <w:szCs w:val="24"/>
          <w:lang w:val="en-US" w:eastAsia="zh-CN"/>
        </w:rPr>
        <w:t>这样一来，不仅能提升品牌的知名度，更能赢得消费者的认可与喜爱，使品牌的美誉度也得以增强。在新媒体的舞台上，企业以独特的方式展现品牌魅力，让品牌形象深入人心，为企业的发展奠定坚实基础。</w:t>
      </w:r>
      <w:r>
        <w:rPr>
          <w:rFonts w:hint="eastAsia" w:cs="Times New Roman"/>
          <w:color w:val="auto"/>
          <w:sz w:val="24"/>
          <w:szCs w:val="24"/>
          <w:lang w:val="en-US" w:eastAsia="zh-CN"/>
        </w:rPr>
        <w:t>并为用户提供了情绪价值。</w:t>
      </w:r>
      <w:r>
        <w:rPr>
          <w:rFonts w:ascii="宋体" w:hAnsi="宋体" w:eastAsia="宋体" w:cs="宋体"/>
          <w:kern w:val="0"/>
          <w:sz w:val="24"/>
          <w:szCs w:val="24"/>
          <w:lang w:val="en-US" w:eastAsia="zh-CN" w:bidi="ar"/>
        </w:rPr>
        <w:t>新媒体为传统行业塑造品牌形象提供了广阔的平台。以可口可乐为例，通过在社交媒体上发布充满创意和正能量的广告视频，展示了品牌的年轻、活力和积极向上的形象。同时，可口可乐还积极参与公益活动，并通过新媒体平台进行传播，提升了品牌的社会责任感和美誉度。此外，一些传统的餐饮企业通过在微信公众号上发布美食图片和故事，展现了品牌的文化底蕴和特色，吸引了众多消费者的关注和喜爱。</w:t>
      </w:r>
    </w:p>
    <w:p w14:paraId="07706263">
      <w:pPr>
        <w:keepNext w:val="0"/>
        <w:keepLines w:val="0"/>
        <w:widowControl/>
        <w:suppressLineNumbers w:val="0"/>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1.2能够推动传统企业在新世纪营销中持续发展</w:t>
      </w:r>
    </w:p>
    <w:p w14:paraId="34058AB0">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在新世纪的营销环境中，新媒体对于传统企业的持续发展起着至关重要的作用。</w:t>
      </w:r>
    </w:p>
    <w:p w14:paraId="17F053D5">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1.2.1 有利于精准定位目标客户保持业务增长和扩张</w:t>
      </w:r>
    </w:p>
    <w:p w14:paraId="77860A12">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平台拥有强大的数据分析能力，能够帮助传统行业精准定位目标客户。例如，通过社交媒体平台的用户画像功能，企业可以了解用户的年龄、性别、地域、兴趣爱好等信息，从而确定自己的目标客户群体。以一家传统的服装企业为例，利用大数据分析发现，其目标客户主要是 25 - 35 岁的年轻女性，她们对时尚、品质和个性化有较高的需求。基于此，企业可以在新媒体平台上针对这一群体进行精准营销，发布符合她们口味的服装款式和搭配建议，提高营销效果。此外，新媒体平台还可以通过用户的浏览记录、搜索关键词等信息，进一步了解用户的需求和偏好，为企业提供更精准的客户定位。</w:t>
      </w:r>
    </w:p>
    <w:p w14:paraId="1964C522">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1.2.2有利于降低营销成本起到降本增效作用</w:t>
      </w:r>
    </w:p>
    <w:p w14:paraId="4B43B121">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在降低传统行业营销成本方面具有显著优势。一方面，新媒体平台的广告投放成本相对较低。与传统的电视、报纸等媒体相比，新媒体平台的广告费用更加亲民，企业可以根据自己的预算进行选择。例如，在微信公众号上投放广告，企业可以根据自己的需求选择不同的广告形式和投放范围，控制广告成本。另一方面，新媒体平台的营销效果更容易衡量。通过数据分析工具，企业可以实时了解广告的曝光量、点击量、转化率等指标，及时调整营销策略，提高营销效率，降低营销成本。以一家传统的家居企业为例，通过在抖音上发布产品视频，吸引了大量用户的关注和咨询。企业通过数据分析发现，这些用户中有很大一部分是潜在客户，于是针对这些用户进行精准营销，最终成功转化了一部分客户，而营销成本却远低于传统的广告方式。</w:t>
      </w:r>
    </w:p>
    <w:p w14:paraId="7A5CF5AF">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1.2.3 有利于顺应时代发展掌握主流营销工具</w:t>
      </w:r>
    </w:p>
    <w:p w14:paraId="4AD8085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顺应时代发展掌握新媒体营销工具具有重要意义。在当今数字化时代，新媒体营销工具不断涌现，如社交媒体、短视频平台、直播平台等。传统行业只有掌握这些营销工具，才能更好地适应市场变化，提升竞争力。例如，一家传统的食品企业通过直播平台进行产品推广，邀请网红主播进行试吃和推荐，吸引了大量用户的观看和购买。这种直播营销方式不仅提高了产品的知名度和销量，还为企业带来了新的营销思路和方法。此外，新媒体营销工具还可以帮助传统行业实现多渠道营销，扩大品牌影响力。企业可以通过社交媒体、短视频平台、直播平台等多个渠道同时进行营销，提高品牌的曝光度和知名度。</w:t>
      </w:r>
    </w:p>
    <w:p w14:paraId="13E632D2">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2、新媒体赋能传统行业的特点</w:t>
      </w:r>
    </w:p>
    <w:p w14:paraId="50CD95F4">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2.1新媒体的赋能的特性化</w:t>
      </w:r>
    </w:p>
    <w:p w14:paraId="364FC3C9">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2.1.1 实时性与即时性</w:t>
      </w:r>
    </w:p>
    <w:p w14:paraId="17943270">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在当今快节奏的社会中，新媒体的实时性与即时性为传统行业营销带来了巨大的影响。例如，新闻媒体行业，以往传统的报纸需要经过采编、排版、印刷等一系列流程才能将新闻传递给读者，这个过程往往需要耗费较长的时间。而如今，新媒体平台如微博、今日头条等，可以在事件发生的瞬间就将新闻推送给用户，极大地提高了新闻的时效性。对于传统的零售行业来说，新媒体的实时性也发挥着重要作用。企业可以通过新媒体平台及时发布产品促销信息、新品上市消息等，吸引消费者的关注。比如，某服装品牌在换季时，通过微信公众号实时推送新款服装的图片和介绍，消费者可以第一时间了解到这些信息，并根据自己的需求进行购买。此外，新媒体的实时性还可以帮助传统行业更好地应对突发事件。当企业面临产品质量问题、公关危机等情况时，可以通过新媒体平台及时发布声明、采取措施，避免危机的进一步扩大。</w:t>
      </w:r>
    </w:p>
    <w:p w14:paraId="13CDACCA">
      <w:pPr>
        <w:pageBreakBefore w:val="0"/>
        <w:kinsoku/>
        <w:wordWrap/>
        <w:overflowPunct/>
        <w:topLinePunct w:val="0"/>
        <w:autoSpaceDE/>
        <w:autoSpaceDN/>
        <w:bidi w:val="0"/>
        <w:spacing w:line="360" w:lineRule="auto"/>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2.1.2 互动性与参与性</w:t>
      </w:r>
    </w:p>
    <w:p w14:paraId="165EA737">
      <w:pPr>
        <w:keepNext w:val="0"/>
        <w:keepLines w:val="0"/>
        <w:widowControl/>
        <w:suppressLineNumbers w:val="0"/>
        <w:ind w:firstLine="420" w:firstLineChars="0"/>
        <w:jc w:val="left"/>
        <w:rPr>
          <w:rFonts w:hint="eastAsia" w:cs="Times New Roman"/>
          <w:color w:val="auto"/>
          <w:sz w:val="24"/>
          <w:szCs w:val="24"/>
          <w:lang w:val="en-US" w:eastAsia="zh-CN"/>
        </w:rPr>
      </w:pPr>
      <w:r>
        <w:rPr>
          <w:rFonts w:ascii="宋体" w:hAnsi="宋体" w:eastAsia="宋体" w:cs="宋体"/>
          <w:kern w:val="0"/>
          <w:sz w:val="24"/>
          <w:szCs w:val="24"/>
          <w:lang w:val="en-US" w:eastAsia="zh-CN" w:bidi="ar"/>
        </w:rPr>
        <w:t>社交媒体平台是新媒体互动性与参与性的典型代表。在传统行业营销中，社交媒体平台为企业与消费者之间搭建了一座沟通的桥梁。以美妆品牌为例，品牌方在微博上发起“美妆挑战”话题，邀请消费者分享自己的化妆技巧和使用该品牌产品的心得。消费者积极参与话题讨论，不仅提高了品牌的曝光度，还为品牌提供了宝贵的用户反馈。企业可以根据这些反馈及时调整产品策略和营销策略，更好地满足消费者的需求。此外，社交媒体平台还可以举办线上活动，如抽奖、投票等，增强消费者的参与感。例如，某食品企业在微信上举办“最美味食品评选”活动，消费者通过投票选出自己最喜欢的食品，企业根据投票结果推出相应的产品和促销活动，提高了消费者的满意度和忠诚度。</w:t>
      </w:r>
    </w:p>
    <w:p w14:paraId="1472872A">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2.1.3. 个性化与定制化</w:t>
      </w:r>
    </w:p>
    <w:p w14:paraId="29BF6266">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可以利用新媒体实现个性化营销，满足不同消费者的需求。以电商行业为例，通过大数据分析消费者的浏览历史、购买记录等信息，为消费者推荐个性化的商品。某电商平台根据用户的购买习惯和兴趣爱好，为用户定制专属的商品推荐页面，提高了用户的购买转化率。在旅游行业，传统旅行社可以利用新媒体平台为消费者提供个性化的旅游方案。根据消费者的喜好、预算、时间等因素，为消费者定制专属的旅游路线和服务，提高消费者的旅游体验。此外，传统的制造业也可以通过新媒体实现个性化定制。例如，某家具企业通过微信公众号接受消费者的定制订单，消费者可以根据自己的需求选择家具的尺寸、颜色、材质等，企业根据订单进行生产，满足了消费者的个性化需求。</w:t>
      </w:r>
    </w:p>
    <w:p w14:paraId="009D8354">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2.2新媒体赋能的专业化</w:t>
      </w:r>
    </w:p>
    <w:p w14:paraId="2FC7FCE2">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新媒体为传统行业带来的专业化赋能在多个方面发挥着重要作用。</w:t>
      </w:r>
    </w:p>
    <w:p w14:paraId="1E12AE3B">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2.2.1 数据驱动</w:t>
      </w:r>
    </w:p>
    <w:p w14:paraId="72AA067B">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在传统行业的新媒体营销中，数据起着至关重要的作用。例如，一家传统的汽车制造企业，通过新媒体平台收集用户的浏览数据、搜索关键词以及对不同车型的关注度等信息。利用这些数据，企业可以了解消费者的需求偏好，针对性地推出符合市场需求的车型。同时，通过分析用户的反馈数据，企业可以及时发现产品的不足之处，进行改进和优化。此外，数据还可以用于精准广告投放。根据用户的年龄、性别、地域等特征，将广告推送给最有可能感兴趣的目标群体，提高广告的点击率和转化率。</w:t>
      </w:r>
    </w:p>
    <w:p w14:paraId="394228E0">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2.2.2 决策依据</w:t>
      </w:r>
    </w:p>
    <w:p w14:paraId="0D326515">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数据成为传统行业营销决策的重要依据。以一家传统的家电企业为例，通过分析新媒体平台上的用户评论和反馈数据，企业可以了解消费者对产品的满意度、功能需求以及改进建议等。根据这些数据，企业可以决定是否推出新产品、改进现有产品功能或者调整营销策略。同时，通过监测竞争对手在新媒体平台上的表现数据，企业可以了解竞争对手的市场份额、营销策略以及用户反馈等情况，从而制定出更具竞争力的营销决策。例如，如果竞争对手在某个新媒体渠道上的广告投放效果较好，企业可以考虑在该渠道上增加广告投入或者调整广告策略。</w:t>
      </w:r>
    </w:p>
    <w:p w14:paraId="49DE47ED">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2.2.3 多渠道整合</w:t>
      </w:r>
    </w:p>
    <w:p w14:paraId="3B5A84D1">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可以通过整合新媒体多渠道进行营销，扩大品牌影响力。例如，一家传统的餐饮企业可以同时利用微信公众号、微博、抖音等多个新媒体平台进行营销。在微信公众号上发布美食推荐、餐厅活动等信息，吸引用户关注；在微博上与用户进行互动，回答用户的问题，提高用户的参与度；在抖音上发布美食视频，展示餐厅的菜品和环境，吸引用户前来就餐。通过整合多个新媒体渠道，企业可以实现全方位的营销覆盖，提高品牌的知名度和美誉度。此外，企业还可以根据不同渠道的特点和用户群体，制定不同的营销策略，提高营销效果。</w:t>
      </w:r>
    </w:p>
    <w:p w14:paraId="5A37B813">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2.2.4 全球化视野</w:t>
      </w:r>
    </w:p>
    <w:p w14:paraId="589A4E75">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以跨国企业苹果公司为例，新媒体为其带来了全球化视野。苹果公司通过社交媒体、官方网站等新媒体平台，在全球范围内进行产品推广和品牌宣传。利用新媒体的实时性和互动性，苹果公司可以及时了解全球各地消费者的需求和反馈，推出符合不同市场需求的产品和营销策略。同时，新媒体也为苹果公司提供了一个与全球用户进行沟通和交流的平台，增强了用户对品牌的认同感和忠诚度。此外，苹果公司还可以通过新媒体平台了解全球竞争对手的动态，及时调整自己的市场策略，保持在全球市场的竞争力。</w:t>
      </w:r>
    </w:p>
    <w:p w14:paraId="4A14580E">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2.3传统行业适应新媒体变化的能力</w:t>
      </w:r>
    </w:p>
    <w:p w14:paraId="004495C2">
      <w:pPr>
        <w:keepNext w:val="0"/>
        <w:keepLines w:val="0"/>
        <w:widowControl/>
        <w:suppressLineNumbers w:val="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传统行业在新媒体时代面临着快速变化的市场环境和技术发展，因此适应新媒体变化的能力至关重要。</w:t>
      </w:r>
    </w:p>
    <w:p w14:paraId="1919E815">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2.3.1 对新媒体行业趋势和技术发展保持敏感度</w:t>
      </w:r>
    </w:p>
    <w:p w14:paraId="6DD19DA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对新媒体趋势和技术发展保持敏感度的方法有很多。首先，传统行业应建立专门的新媒体监测团队，实时关注新媒体平台上的行业动态、竞争对手动态以及消费者需求变化。例如，一家传统的零售企业可以安排专人负责监测各大电商平台、社交媒体上的热门商品、促销活动以及消费者评价，及时了解市场趋势，调整自身的产品策略和营销策略。</w:t>
      </w:r>
    </w:p>
    <w:p w14:paraId="62CBF1D7">
      <w:pPr>
        <w:keepNext w:val="0"/>
        <w:keepLines w:val="0"/>
        <w:widowControl/>
        <w:suppressLineNumbers w:val="0"/>
        <w:jc w:val="left"/>
      </w:pPr>
      <w:r>
        <w:rPr>
          <w:rFonts w:ascii="宋体" w:hAnsi="宋体" w:eastAsia="宋体" w:cs="宋体"/>
          <w:kern w:val="0"/>
          <w:sz w:val="24"/>
          <w:szCs w:val="24"/>
          <w:lang w:val="en-US" w:eastAsia="zh-CN" w:bidi="ar"/>
        </w:rPr>
        <w:t>其次，传统行业应积极参加各类新媒体行业研讨会、培训课程等活动，不断学习和掌握新媒体的最新趋势和技术。比如，参加关于短视频营销、直播带货等主题的研讨会，了解这些新兴营销方式的操作技巧和成功案例，为企业引入新的营销手段提供参考。</w:t>
      </w:r>
    </w:p>
    <w:p w14:paraId="343BF4EB">
      <w:pPr>
        <w:keepNext w:val="0"/>
        <w:keepLines w:val="0"/>
        <w:widowControl/>
        <w:suppressLineNumbers w:val="0"/>
        <w:jc w:val="left"/>
        <w:rPr>
          <w:rFonts w:hint="eastAsia" w:ascii="Times New Roman" w:hAnsi="Times New Roman" w:eastAsia="宋体" w:cs="Times New Roman"/>
          <w:color w:val="auto"/>
          <w:sz w:val="24"/>
          <w:szCs w:val="24"/>
          <w:lang w:val="en-US" w:eastAsia="zh-CN"/>
        </w:rPr>
      </w:pPr>
      <w:r>
        <w:rPr>
          <w:rFonts w:ascii="宋体" w:hAnsi="宋体" w:eastAsia="宋体" w:cs="宋体"/>
          <w:kern w:val="0"/>
          <w:sz w:val="24"/>
          <w:szCs w:val="24"/>
          <w:lang w:val="en-US" w:eastAsia="zh-CN" w:bidi="ar"/>
        </w:rPr>
        <w:t>此外，传统行业还可以与新媒体行业的专业机构合作，获取专业的新媒体趋势分析和技术咨询服务。例如，与一家专业的新媒体数据分析公司合作，定期获取关于行业发展趋势、消费者行为变化等方面的报告，帮助企业更好地把握新媒体发展机遇。</w:t>
      </w:r>
    </w:p>
    <w:p w14:paraId="0866D903">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2.3.2 加强与外界沟通和协作以适应变化</w:t>
      </w:r>
    </w:p>
    <w:p w14:paraId="5C627966">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加强与外界沟通协作以适应新媒体变化具有重要意义。一方面，加强与新媒体平台的沟通协作可以为传统行业带来更多的营销机会和资源。例如，传统企业可以与抖音、微博等新媒体平台合作，举办线上活动、推出定制化内容，吸引更多用户关注。同时，通过与新媒体平台的合作，传统企业还可以获得平台的流量支持和推广资源，提高品牌曝光度。</w:t>
      </w:r>
    </w:p>
    <w:p w14:paraId="25C46102">
      <w:pPr>
        <w:keepNext w:val="0"/>
        <w:keepLines w:val="0"/>
        <w:widowControl/>
        <w:suppressLineNumbers w:val="0"/>
        <w:jc w:val="left"/>
      </w:pPr>
      <w:r>
        <w:rPr>
          <w:rFonts w:ascii="宋体" w:hAnsi="宋体" w:eastAsia="宋体" w:cs="宋体"/>
          <w:kern w:val="0"/>
          <w:sz w:val="24"/>
          <w:szCs w:val="24"/>
          <w:lang w:val="en-US" w:eastAsia="zh-CN" w:bidi="ar"/>
        </w:rPr>
        <w:t>另一方面，加强与其他传统行业企业的沟通协作可以实现资源共享和优势互补。不同传统行业企业在新媒体营销方面可能有不同的经验和优势，通过合作可以互相学习、借鉴，共同探索适应新媒体变化的营销策略。例如，一家传统的制造业企业可以与一家传统的服务业企业合作，共同开展新媒体营销活动，整合双方的资源和优势，提高营销效果。</w:t>
      </w:r>
    </w:p>
    <w:p w14:paraId="27F827C2">
      <w:pPr>
        <w:keepNext w:val="0"/>
        <w:keepLines w:val="0"/>
        <w:widowControl/>
        <w:suppressLineNumbers w:val="0"/>
        <w:jc w:val="left"/>
        <w:rPr>
          <w:rFonts w:hint="eastAsia" w:ascii="Times New Roman" w:hAnsi="Times New Roman" w:eastAsia="宋体" w:cs="Times New Roman"/>
          <w:color w:val="auto"/>
          <w:sz w:val="24"/>
          <w:szCs w:val="24"/>
          <w:lang w:val="en-US" w:eastAsia="zh-CN"/>
        </w:rPr>
      </w:pPr>
      <w:r>
        <w:rPr>
          <w:rFonts w:ascii="宋体" w:hAnsi="宋体" w:eastAsia="宋体" w:cs="宋体"/>
          <w:kern w:val="0"/>
          <w:sz w:val="24"/>
          <w:szCs w:val="24"/>
          <w:lang w:val="en-US" w:eastAsia="zh-CN" w:bidi="ar"/>
        </w:rPr>
        <w:t>此外，传统行业还应加强与消费者的沟通协作。通过新媒体平台，传统企业可以及时了解消费者的需求和反馈，根据消费者的意见和建议改进产品和服务。同时，传统企业还可以邀请消费者参与产品设计、营销活动策划等环节，增强消费者的参与感和忠诚度。例如，一家传统的食品企业可以通过微信公众号、微博等平台发起产品口味投票活动，让消费者参与产品研发过程，提高消费者对品牌的认同感。</w:t>
      </w:r>
    </w:p>
    <w:p w14:paraId="3301DFCC">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3、新纪元下新媒体驱动传统行业营销的主要问题</w:t>
      </w:r>
    </w:p>
    <w:p w14:paraId="5E3B56DC">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3.1专业人才匮乏</w:t>
      </w:r>
    </w:p>
    <w:p w14:paraId="7605FA59">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在新纪元下，新媒体驱动传统行业营销面临着专业人才匮乏的严峻问题，这对传统行业的发展带来了诸多挑战。</w:t>
      </w:r>
    </w:p>
    <w:p w14:paraId="44EF5746">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3.1.1 缺少复合型人才</w:t>
      </w:r>
    </w:p>
    <w:p w14:paraId="0F0EB41F">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在新媒体营销中迫切需要既懂传统行业业务知识，又精通新媒体技术和营销手段的复合型人才。例如，一家传统的制造业企业，不仅需要人才了解产品的生产工艺和市场需求，还需要他们能够熟练运用社交媒体、短视频平台等新媒体工具进行品牌推广和产品营销。然而，目前这样的复合型人才十分稀缺。传统行业的业务往往较为复杂，需要专业知识的积累，而新媒体领域则需要不断跟上技术更新的步伐，掌握各种新兴的营销手段。这就要求人才具备跨领域的知识和技能，能够将传统行业的专业知识与新媒体的营销技巧有机结合起来。</w:t>
      </w:r>
    </w:p>
    <w:p w14:paraId="7A41D48E">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3.1.2 市场人才缺口大</w:t>
      </w:r>
    </w:p>
    <w:p w14:paraId="4810EB6F">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目前，传统行业新媒体人才市场缺口巨大。据相关数据显示，随着新媒体的快速发展，企业对新媒体营销人才的需求呈爆发式增长。以传统的零售业为例，越来越多的企业意识到新媒体营销的重要性，纷纷加大在新媒体领域的投入，但却苦于找不到合适的人才。一方面，传统行业对新媒体人才的需求不断增加；另一方面，新媒体人才的培养速度远远跟不上市场的需求。这导致了传统行业在新媒体营销方面面临着人才短缺的困境，严重制约了传统行业在新媒体时代的发展。</w:t>
      </w:r>
    </w:p>
    <w:p w14:paraId="3A2A8847">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3.1.3新媒体知识更新迭代速度过快</w:t>
      </w:r>
    </w:p>
    <w:p w14:paraId="7BB1DDC1">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知识更新迭代速度极快，这给传统行业的人才带来了巨大的挑战。新媒体领域的技术和营销手段不断创新，新的平台、工具和策略层出不穷。传统行业的人才往往难以跟上这样的快速变化，需要不断学习和更新知识。例如，短视频平台的兴起，直播带货的流行，都需要人才及时掌握这些新的营销方式。传统行业的人才如果不能及时更新知识，就会在新媒体营销中落后，无法有效地利用新媒体工具为企业创造价值。</w:t>
      </w:r>
    </w:p>
    <w:p w14:paraId="25978EDE">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3.1.4新媒体行业工资薪酬绩效标准差距较大</w:t>
      </w:r>
    </w:p>
    <w:p w14:paraId="3052D364">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行业工资薪酬绩效标准差距较大，这对传统行业吸引和留住新媒体人才造成了困难。由于新媒体行业的发展迅速，市场对新媒体人才的需求旺盛，导致新媒体人才的薪酬水平普遍较高。而传统行业的薪酬体系相对较为稳定，往往无法与新媒体行业的薪酬水平相媲美。这使得传统行业在吸引新媒体人才时缺乏竞争力，即使吸引到了人才，也难以长期留住他们。此外，薪酬标准的差异还可能导致传统行业内部人才的流失，一些原本在传统行业工作的人才可能会被新媒体行业的高薪酬所吸引，转而投身新媒体领域。</w:t>
      </w:r>
    </w:p>
    <w:p w14:paraId="2427F1F3">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3.2观念转变困难</w:t>
      </w:r>
    </w:p>
    <w:p w14:paraId="672CB908">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在新纪元下，传统行业在新媒体营销中面临着观念转变困难的问题，这严重阻碍了传统行业在新媒体时代的发展。</w:t>
      </w:r>
    </w:p>
    <w:p w14:paraId="0D33E3E5">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3.2.1 传统行业对新媒体营销认识不足</w:t>
      </w:r>
    </w:p>
    <w:p w14:paraId="766D4C89">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以一家传统的家具制造企业为例，该企业长期以来主要依赖传统的销售渠道，如实体店销售和参加家具展销会等。对于新媒体营销，企业管理层认为只是一种辅助手段，并没有给予足够的重视。他们认为新媒体平台只是年轻人娱乐的地方，与自己的目标客户群体不匹配。然而，随着市场的变化，越来越多的年轻消费者开始通过新媒体平台获取产品信息和购买商品。这家企业由于对新媒体营销认识不足，错过了很多潜在的客户和市场机会。</w:t>
      </w:r>
    </w:p>
    <w:p w14:paraId="46872420">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3.2.2新媒体团队协作门槛过高不好管理</w:t>
      </w:r>
    </w:p>
    <w:p w14:paraId="6112E847">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新媒体团队协作门槛对传统行业来说确实是一个挑战。传统行业的工作模式通常是层级分明，各部门之间分工明确，沟通协作相对较少。而新媒体营销需要跨部门、跨领域的团队协作，包括市场营销、技术开发、内容创作等多个方面。例如，一家传统的食品企业想要开展新媒体营销活动，需要市场部门制定营销策略，技术部门搭建新媒体平台，内容创作部门制作吸引人的视频和图片等。然而，由于传统行业的团队协作模式难以适应新媒体营销的要求，各部门之间沟通不畅，导致营销活动进展缓慢，效果不佳。</w:t>
      </w:r>
    </w:p>
    <w:p w14:paraId="683AAF84">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3.2.3 传统企业思想固化不善于调整营销策略</w:t>
      </w:r>
    </w:p>
    <w:p w14:paraId="5C6446C5">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企业思想固化不善于调整营销策略的现象较为普遍。很多传统企业长期采用传统的营销方式，如电视广告、报纸广告、促销活动等，已经形成了固定的思维模式。在新媒体时代，这些传统的营销策略虽然仍有一定的作用，但已经不能满足市场的需求。例如，一家传统的服装企业一直依赖线下门店的促销活动来吸引顾客，对于新媒体平台上的直播带货、社交营销等新兴营销方式持怀疑态度，不愿意尝试。这种营销策略的固化使得企业在新媒体时代逐渐失去竞争力，难以吸引年轻消费者的关注。</w:t>
      </w:r>
    </w:p>
    <w:p w14:paraId="2E3FBB91">
      <w:pPr>
        <w:keepNext w:val="0"/>
        <w:keepLines w:val="0"/>
        <w:widowControl/>
        <w:suppressLineNumbers w:val="0"/>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3.3融合程度不高</w:t>
      </w:r>
    </w:p>
    <w:p w14:paraId="3E3ED26C">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在新纪元下，传统行业与新媒体的融合程度不高成为新媒体驱动传统行业营销的又一重大问题。</w:t>
      </w:r>
    </w:p>
    <w:p w14:paraId="3989187B">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3.3.1 传统行业与新媒体营销结合不够紧密</w:t>
      </w:r>
    </w:p>
    <w:p w14:paraId="3610480F">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与新媒体营销结合不够紧密的情况在实际中屡见不鲜。例如，一些传统的制造业企业仅仅在新媒体平台上发布一些产品图片和简单的文字介绍，缺乏与用户的互动和深度沟通。这种方式只是将新媒体平台当作一个信息发布的渠道，而没有充分发挥新媒体的互动性、个性化等优势。又如，一些传统的餐饮企业虽然开通了外卖平台，但在新媒体营销方面做得不够深入，没有利用社交媒体等平台进行品牌推广和用户互动，导致品牌知名度难以提升。</w:t>
      </w:r>
    </w:p>
    <w:p w14:paraId="257DFFD7">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3.3.2 缺乏内循环的人才培养思维</w:t>
      </w:r>
    </w:p>
    <w:p w14:paraId="09E225A4">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缺乏内循环人才培养思维的后果十分严重。一方面，由于没有培养自己的新媒体营销人才，传统行业在开展新媒体营销活动时往往依赖外部机构或人员，这不仅增加了成本，还可能因为对外部人员的管理不善而影响营销效果。另一方面，缺乏内循环人才培养思维使得传统行业内部员工对新媒体营销的认识和理解不足，难以形成全员参与新媒体营销的氛围。例如，一家传统的零售企业在开展新媒体营销活动时，由于内部员工缺乏相关知识和技能，只能将大部分工作外包给第三方机构，导致营销活动的执行效果与预期目标相差甚远。</w:t>
      </w:r>
    </w:p>
    <w:p w14:paraId="4EFA9751">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3.3.3缺乏新营销工具的使用及新行业洞察力</w:t>
      </w:r>
    </w:p>
    <w:p w14:paraId="380F1BCD">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缺乏新营销工具使用及新行业洞察力的影响不可忽视。在新媒体时代，新的营销工具和技术不断涌现，如人工智能营销、虚拟现实营销等。如果传统行业缺乏对这些新营销工具的使用和对新行业的洞察力，就会在市场竞争中处于劣势。例如，一些传统的旅游企业没有及时关注到虚拟现实技术在旅游营销中的应用，而竞争对手却利用虚拟现实技术为用户提供沉浸式的旅游体验，吸引了大量用户。此外，缺乏新行业洞察力还会导致传统行业错过市场机遇。例如，当短视频平台成为热门的营销渠道时，一些传统企业由于没有及时察觉到这一趋势，未能及时入驻短视频平台进行营销，从而失去了大量潜在客户。</w:t>
      </w:r>
    </w:p>
    <w:p w14:paraId="35B6AC23">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3.4效果评估困难</w:t>
      </w:r>
    </w:p>
    <w:p w14:paraId="6AA7BAD5">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在新纪元下，传统行业新媒体营销效果评估面临着诸多困难和挑战。</w:t>
      </w:r>
    </w:p>
    <w:p w14:paraId="4C2106B2">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3.4.1 难以准确衡量新媒体营销对传统行业的实际效果</w:t>
      </w:r>
    </w:p>
    <w:p w14:paraId="20F6C8EE">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在新媒体营销中，往往难以准确衡量其实际效果。一方面，新媒体营销的效果受到多种因素的影响，包括平台算法的变化、用户行为的不确定性、竞争对手的动态等。例如，一家传统的化妆品企业在社交媒体上进行了一场营销活动，投入了大量的时间和资源制作精美的图片和视频内容，并通过付费推广增加了曝光量。然而，最终的销售转化却难以直接与这次营销活动挂钩，因为用户可能在看到广告后，经过一段时间的考虑才决定购买，或者在其他渠道了解到该产品后才进行购买。另一方面，传统的营销效果评估指标在新媒体环境下可能不再适用。传统的评估指标如收视率、发行量等，无法准确反映新媒体营销的效果。新媒体营销更注重用户的互动、参与度、口碑传播等指标，但这些指标的衡量难度较大。</w:t>
      </w:r>
    </w:p>
    <w:p w14:paraId="290FD62B">
      <w:pPr>
        <w:keepNext w:val="0"/>
        <w:keepLines w:val="0"/>
        <w:widowControl/>
        <w:suppressLineNumbers w:val="0"/>
        <w:jc w:val="left"/>
      </w:pPr>
      <w:r>
        <w:rPr>
          <w:rFonts w:ascii="宋体" w:hAnsi="宋体" w:eastAsia="宋体" w:cs="宋体"/>
          <w:kern w:val="0"/>
          <w:sz w:val="24"/>
          <w:szCs w:val="24"/>
          <w:lang w:val="en-US" w:eastAsia="zh-CN" w:bidi="ar"/>
        </w:rPr>
        <w:t>以一家传统的服装企业为例，该企业在短视频平台上发布了一系列时尚穿搭视频，获得了较高的点赞数和评论数。然而，企业很难确定这些互动数据是否真正转化为了实际的销售业绩。点赞和评论可能只是用户对视频内容的一时兴趣，不一定代表他们会购买产品。而且，即使有用户通过视频了解到了品牌并进行了购买，企业也难以准确追踪这一转化过程，无法确定新媒体营销在其中起到的具体作用。</w:t>
      </w:r>
    </w:p>
    <w:p w14:paraId="5F7BA6D7">
      <w:pPr>
        <w:keepNext w:val="0"/>
        <w:keepLines w:val="0"/>
        <w:widowControl/>
        <w:suppressLineNumbers w:val="0"/>
        <w:jc w:val="left"/>
      </w:pPr>
      <w:r>
        <w:rPr>
          <w:rFonts w:ascii="宋体" w:hAnsi="宋体" w:eastAsia="宋体" w:cs="宋体"/>
          <w:kern w:val="0"/>
          <w:sz w:val="24"/>
          <w:szCs w:val="24"/>
          <w:lang w:val="en-US" w:eastAsia="zh-CN" w:bidi="ar"/>
        </w:rPr>
        <w:t>此外，新媒体营销的效果还具有滞后性和长期性。一些营销活动可能在短期内看不到明显的效果，但在长期内可能会对品牌形象的塑造和用户忠诚度的培养产生积极影响。传统行业在进行新媒体营销时，往往缺乏对长期效果的评估和规划，只关注短期的销售数据，这也导致了难以准确衡量新媒体营销的实际效果。</w:t>
      </w:r>
    </w:p>
    <w:p w14:paraId="403BCD97">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4、新媒体驱动传统行业的营销策略</w:t>
      </w:r>
    </w:p>
    <w:p w14:paraId="72D08994">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4.1加强人才培养与引进</w:t>
      </w:r>
    </w:p>
    <w:p w14:paraId="0531423F">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4.1.1 专业技能培养</w:t>
      </w:r>
    </w:p>
    <w:p w14:paraId="341C918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可以通过与高校合作，开展定向培养项目，设置新媒体营销相关课程，如新媒体平台运营、内容创作与编辑、数字营销等。同时，企业内部可以组织定期的培训讲座和工作坊，邀请行业专家分享最新的新媒体营销技术和案例。例如，一家传统的制造业企业与当地高校合作，开设了新媒体营销实训课程，学生在企业实习期间，能够将理论知识与实际操作相结合，为企业培养了一批具备专业技能的新媒体营销人才。</w:t>
      </w:r>
    </w:p>
    <w:p w14:paraId="476424E5">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4.1.2 创意思维培养</w:t>
      </w:r>
    </w:p>
    <w:p w14:paraId="37F23E3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创意思维在传统行业新媒体营销中至关重要。它能够帮助企业在激烈的市场竞争中脱颖而出，吸引消费者的注意力。培养创意思维的方法包括激发灵感、融合跨界元素、运用创造性思维工具和团队合作。例如，企业可以鼓励员工多阅读、旅行、观影等，拓宽视野，积累素材和灵感。同时，企业可以与不同领域的企业进行跨界合作，将新的元素融入到新媒体营销中。此外，企业可以运用头脑风暴、思维导图等创造性思维工具，激发员工的创意。通过团队合作，成员之间的碰撞和合作可以激发出更多的火花，帮助创意更加丰富和多样化。</w:t>
      </w:r>
    </w:p>
    <w:p w14:paraId="0C1F1DA1">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4.1.3 打造专业新媒体营销团队</w:t>
      </w:r>
    </w:p>
    <w:p w14:paraId="016A330B">
      <w:pPr>
        <w:keepNext w:val="0"/>
        <w:keepLines w:val="0"/>
        <w:widowControl/>
        <w:suppressLineNumbers w:val="0"/>
        <w:ind w:firstLine="42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传统行业可以通过内部选拔和外部招聘相结合的方式，组建专业的新媒体营销团队。团队成员应包括新媒体运营人员、内容创作人员、设计师、数据分析师等。例如，一家传统的零售企业组建了一支新媒体营销团队，团队成员分工明确，运营人员负责新媒体平台的日常运营和管理，内容创作人员负责撰写吸引人的文案和制作视频，设计师负责设计美观的图片和海报，数据分析师负责分析用户数据，为营销策略的调整提供依据。同时，企业可以为团队提供良好的工作环境和发展空间，鼓励团队成员不断学习和创新。</w:t>
      </w:r>
    </w:p>
    <w:p w14:paraId="34802E80">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4.1.4 数据分析能力</w:t>
      </w:r>
    </w:p>
    <w:p w14:paraId="5DA7E00A">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数据分析能力对传统行业新媒体营销起着关键作用。通过数据分析，企业可以了解用户需求、市场趋势和营销效果，从而制定更加精准的营销策略。培养数据分析能力的途径包括学习数据分析课程、使用数据分析工具和与专业数据分析公司合作。例如，企业可以组织员工参加数据分析培训课程，学习数据分析的基本方法和技巧。同时，企业可以使用数据分析工具，如百度统计、谷歌分析等，对新媒体平台的数据进行分析。此外，企业可以与专业数据分析公司合作，获取更深入的数据分析报告和建议。</w:t>
      </w:r>
    </w:p>
    <w:p w14:paraId="549B883E">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4.1.5 引进新媒体行业精英</w:t>
      </w:r>
    </w:p>
    <w:p w14:paraId="766C3DC7">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引进新媒体行业精英具有重要意义。他们能够带来先进的理念、技术和经验，为企业的新媒体营销注入新的活力。引进新媒体行业精英的方法包括高薪招聘、股权激励和提供良好的职业发展空间。例如，一家传统的食品企业通过高薪招聘，引进了一位在新媒体营销领域具有丰富经验的专家。这位专家为企业制定了全新的新媒体营销策略，带领团队在短时间内取得了显著的营销效果。同时，企业可以通过股权激励等方式，吸引精英人才长期为企业服务。此外，企业还应为精英人才提供良好的职业发展空间，让他们能够充分发挥自己的才能。</w:t>
      </w:r>
    </w:p>
    <w:p w14:paraId="342344C5">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4.2更新营销观念</w:t>
      </w:r>
    </w:p>
    <w:p w14:paraId="7089C241">
      <w:pPr>
        <w:keepNext w:val="0"/>
        <w:keepLines w:val="0"/>
        <w:widowControl/>
        <w:suppressLineNumbers w:val="0"/>
        <w:ind w:firstLine="420" w:firstLineChars="0"/>
        <w:jc w:val="left"/>
        <w:rPr>
          <w:rFonts w:hint="eastAsia" w:ascii="黑体" w:hAnsi="黑体" w:eastAsia="黑体" w:cs="Times New Roman"/>
          <w:b w:val="0"/>
          <w:bCs w:val="0"/>
          <w:sz w:val="32"/>
          <w:szCs w:val="32"/>
          <w:lang w:val="en-US" w:eastAsia="zh-CN"/>
        </w:rPr>
      </w:pPr>
      <w:r>
        <w:rPr>
          <w:rFonts w:ascii="宋体" w:hAnsi="宋体" w:eastAsia="宋体" w:cs="宋体"/>
          <w:kern w:val="0"/>
          <w:sz w:val="24"/>
          <w:szCs w:val="24"/>
          <w:lang w:val="en-US" w:eastAsia="zh-CN" w:bidi="ar"/>
        </w:rPr>
        <w:t>传统行业在新媒体时代面临着诸多挑战，更新营销观念成为当务之急。只有转变观念，才能更好地适应市场变化，提升竞争力。</w:t>
      </w:r>
    </w:p>
    <w:p w14:paraId="05F0130C">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4.2.1 建立以客户为中心的营销观念</w:t>
      </w:r>
    </w:p>
    <w:p w14:paraId="6A8406FF">
      <w:pPr>
        <w:keepNext w:val="0"/>
        <w:keepLines w:val="0"/>
        <w:widowControl/>
        <w:suppressLineNumbers w:val="0"/>
        <w:ind w:firstLine="42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在新媒体环境下，传统行业建立以客户为中心的营销观念至关重要。以客户为中心意味着企业要深入了解客户需求、偏好和行为，为客户提供个性化的产品和服务。例如，通过新媒体平台收集客户反馈，了解客户对产品的意见和建议，及时进行改进和优化。同时，根据客户的兴趣爱好和消费习惯，制定个性化的营销策略，提高营销效果。</w:t>
      </w:r>
    </w:p>
    <w:p w14:paraId="21D5096D">
      <w:pPr>
        <w:keepNext w:val="0"/>
        <w:keepLines w:val="0"/>
        <w:widowControl/>
        <w:suppressLineNumbers w:val="0"/>
        <w:jc w:val="left"/>
      </w:pPr>
      <w:r>
        <w:rPr>
          <w:rFonts w:ascii="宋体" w:hAnsi="宋体" w:eastAsia="宋体" w:cs="宋体"/>
          <w:kern w:val="0"/>
          <w:sz w:val="24"/>
          <w:szCs w:val="24"/>
          <w:lang w:val="en-US" w:eastAsia="zh-CN" w:bidi="ar"/>
        </w:rPr>
        <w:t>以一家传统的家电企业为例，通过在社交媒体上开展用户调查和互动活动，了解用户对家电产品的需求和期望。根据用户反馈，企业推出了一系列智能化、个性化的家电产品，并通过新媒体平台进行推广。这些产品满足了用户的个性化需求，受到了用户的广泛欢迎。</w:t>
      </w:r>
    </w:p>
    <w:p w14:paraId="02C7FD16">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建立以客户为中心的营销观念还可以提高客户满意度和忠诚度。通过新媒体平台与客户进行实时互动和沟通，及时解决客户问题，增强客户对企业的信任感和认同感。例如，企业可以在微信公众号上设置客户服务专区，及时回复客户咨询和投诉，提高客户满意度。</w:t>
      </w:r>
    </w:p>
    <w:p w14:paraId="37A2FE57">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4.2.2 积极拥抱新媒体的营销思维</w:t>
      </w:r>
    </w:p>
    <w:p w14:paraId="32C5595B">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传统行业积极拥抱新媒体营销思维具有必要性。新媒体营销思维强调互动性、个性化、即时性和数据驱动。传统行业要摒弃传统的营销思维模式，积极学习和借鉴新媒体营销的成功经验。</w:t>
      </w:r>
    </w:p>
    <w:p w14:paraId="13374945">
      <w:pPr>
        <w:keepNext w:val="0"/>
        <w:keepLines w:val="0"/>
        <w:widowControl/>
        <w:suppressLineNumbers w:val="0"/>
        <w:jc w:val="left"/>
      </w:pPr>
      <w:r>
        <w:rPr>
          <w:rFonts w:ascii="宋体" w:hAnsi="宋体" w:eastAsia="宋体" w:cs="宋体"/>
          <w:kern w:val="0"/>
          <w:sz w:val="24"/>
          <w:szCs w:val="24"/>
          <w:lang w:val="en-US" w:eastAsia="zh-CN" w:bidi="ar"/>
        </w:rPr>
        <w:t>拥抱新媒体思维可以帮助传统行业更好地与年轻消费者沟通。年轻消费者是新媒体的主要用户群体，他们对新媒体营销方式更加熟悉和接受。例如，通过短视频平台、直播平台等新媒体渠道进行品牌推广和产品营销，可以吸引年轻消费者的关注，提高品牌知名度。</w:t>
      </w:r>
    </w:p>
    <w:p w14:paraId="7EA89D9D">
      <w:pPr>
        <w:keepNext w:val="0"/>
        <w:keepLines w:val="0"/>
        <w:widowControl/>
        <w:suppressLineNumbers w:val="0"/>
        <w:jc w:val="left"/>
      </w:pPr>
      <w:r>
        <w:rPr>
          <w:rFonts w:ascii="宋体" w:hAnsi="宋体" w:eastAsia="宋体" w:cs="宋体"/>
          <w:kern w:val="0"/>
          <w:sz w:val="24"/>
          <w:szCs w:val="24"/>
          <w:lang w:val="en-US" w:eastAsia="zh-CN" w:bidi="ar"/>
        </w:rPr>
        <w:t>同时，新媒体思维可以促进传统行业创新营销方式。例如，利用社交媒体平台开展互动营销活动，如抽奖、投票、打卡等，增强用户参与感和粘性。或者通过内容营销，制作有价值、有趣、有吸引力的内容，吸引用户关注和分享，提高品牌影响力。</w:t>
      </w:r>
    </w:p>
    <w:p w14:paraId="54681167">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4.2.3 掌握新媒体全平台的运营流程</w:t>
      </w:r>
    </w:p>
    <w:p w14:paraId="2A4EA717">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掌握新媒体全平台运营流程的方法有很多。首先，企业要了解不同新媒体平台的特点和用户群体。例如，微信公众号适合发布深度内容和进行客户服务，微博适合发布即时信息和进行话题营销，抖音适合发布短视频内容和进行品牌推广。根据不同平台的特点，制定相应的营销策略。</w:t>
      </w:r>
    </w:p>
    <w:p w14:paraId="0A8D83D8">
      <w:pPr>
        <w:keepNext w:val="0"/>
        <w:keepLines w:val="0"/>
        <w:widowControl/>
        <w:suppressLineNumbers w:val="0"/>
        <w:jc w:val="left"/>
      </w:pPr>
      <w:r>
        <w:rPr>
          <w:rFonts w:ascii="宋体" w:hAnsi="宋体" w:eastAsia="宋体" w:cs="宋体"/>
          <w:kern w:val="0"/>
          <w:sz w:val="24"/>
          <w:szCs w:val="24"/>
          <w:lang w:val="en-US" w:eastAsia="zh-CN" w:bidi="ar"/>
        </w:rPr>
        <w:t>其次，企业要建立专业的新媒体运营团队，负责新媒体平台的日常运营和管理。团队成员应包括新媒体运营人员、内容创作人员、设计师、数据分析师等。他们要熟悉新媒体平台的操作规则和运营技巧，能够制定有效的运营策略。</w:t>
      </w:r>
    </w:p>
    <w:p w14:paraId="5C20A5F0">
      <w:pPr>
        <w:keepNext w:val="0"/>
        <w:keepLines w:val="0"/>
        <w:widowControl/>
        <w:suppressLineNumbers w:val="0"/>
        <w:jc w:val="left"/>
      </w:pPr>
      <w:r>
        <w:rPr>
          <w:rFonts w:ascii="宋体" w:hAnsi="宋体" w:eastAsia="宋体" w:cs="宋体"/>
          <w:kern w:val="0"/>
          <w:sz w:val="24"/>
          <w:szCs w:val="24"/>
          <w:lang w:val="en-US" w:eastAsia="zh-CN" w:bidi="ar"/>
        </w:rPr>
        <w:t>此外，企业要不断学习和掌握新媒体运营的最新技术和方法。例如，利用人工智能技术进行精准营销，利用虚拟现实技术进行产品展示和体验，利用大数据分析进行用户画像和市场预测。通过不断学习和创新，提高新媒体运营的效率和效果。</w:t>
      </w:r>
    </w:p>
    <w:p w14:paraId="0076837B">
      <w:pPr>
        <w:keepNext w:val="0"/>
        <w:keepLines w:val="0"/>
        <w:widowControl/>
        <w:suppressLineNumbers w:val="0"/>
        <w:jc w:val="left"/>
      </w:pPr>
      <w:r>
        <w:rPr>
          <w:rFonts w:ascii="宋体" w:hAnsi="宋体" w:eastAsia="宋体" w:cs="宋体"/>
          <w:kern w:val="0"/>
          <w:sz w:val="24"/>
          <w:szCs w:val="24"/>
          <w:lang w:val="en-US" w:eastAsia="zh-CN" w:bidi="ar"/>
        </w:rPr>
        <w:t>总之，传统行业要更新营销观念，建立以客户为中心的营销观念，积极拥抱新媒体思维，掌握新媒体全平台运营流程，才能在新媒体时代实现可持续发展。</w:t>
      </w:r>
    </w:p>
    <w:p w14:paraId="1EC91440">
      <w:pPr>
        <w:keepNext w:val="0"/>
        <w:keepLines w:val="0"/>
        <w:widowControl/>
        <w:suppressLineNumbers w:val="0"/>
        <w:jc w:val="left"/>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4.3建立新媒体评估体系</w:t>
      </w:r>
    </w:p>
    <w:p w14:paraId="7480E855">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4.3.1 新媒体目标评估</w:t>
      </w:r>
    </w:p>
    <w:p w14:paraId="091984F6">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在新媒体驱动传统行业营销的过程中，建立完善的评估体系至关重要。它能够帮助传统行业准确了解新媒体营销的效果，及时发现问题并进行调整，从而不断优化营销策略，提高营销效益。</w:t>
      </w:r>
      <w:r>
        <w:rPr>
          <w:rFonts w:ascii="Segoe UI" w:hAnsi="Segoe UI" w:eastAsia="Segoe UI" w:cs="Segoe UI"/>
          <w:i w:val="0"/>
          <w:iCs w:val="0"/>
          <w:caps w:val="0"/>
          <w:spacing w:val="0"/>
          <w:sz w:val="24"/>
          <w:szCs w:val="24"/>
          <w:shd w:val="clear" w:fill="FFFFFF"/>
        </w:rPr>
        <w:t>明确营销目标和指标，为营销决策提供依据。例如，企业可以制定新媒体营销目标，如品牌知名度提升、产品销售量增加等，并通过数据分析等方式，评估营销目标的实现情况。</w:t>
      </w:r>
    </w:p>
    <w:p w14:paraId="6476EF97">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4.3.2 新媒体运营流程评估</w:t>
      </w:r>
    </w:p>
    <w:p w14:paraId="40CB7733">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新媒体运营流程评估的要点包括内容创作质量、发布频率、互动回应及时性等。内容创作质量可以从文案的吸引力、图片和视频的制作水平、信息的准确性和价值性等方面进行评估。发布频率要根据目标用户的活跃时间和平台特点进行合理安排，避免过于频繁或稀疏。互动回应及时性要求运营团队在用户留言、评论和咨询时能够迅速做出回应，增强用户的满意度和忠诚度。</w:t>
      </w:r>
    </w:p>
    <w:p w14:paraId="632E0071">
      <w:pPr>
        <w:keepNext w:val="0"/>
        <w:keepLines w:val="0"/>
        <w:widowControl/>
        <w:suppressLineNumbers w:val="0"/>
        <w:jc w:val="left"/>
      </w:pPr>
      <w:r>
        <w:rPr>
          <w:rFonts w:ascii="宋体" w:hAnsi="宋体" w:eastAsia="宋体" w:cs="宋体"/>
          <w:kern w:val="0"/>
          <w:sz w:val="24"/>
          <w:szCs w:val="24"/>
          <w:lang w:val="en-US" w:eastAsia="zh-CN" w:bidi="ar"/>
        </w:rPr>
        <w:t>此外，还应评估新媒体平台的选择是否合理，不同平台的运营策略是否具有针对性。例如，对于以年轻用户为主的产品，可以重点评估在抖音、B站等平台的运营效果；对于专业领域的产品，可能需要关注在行业论坛、专业社交媒体群组等平台的表现。</w:t>
      </w:r>
    </w:p>
    <w:p w14:paraId="78AF0606">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4.3.3 新媒体复盘流程评估</w:t>
      </w:r>
    </w:p>
    <w:p w14:paraId="3FB2963F">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新媒体复盘流程评估的作用主要体现在总结经验教训、优化未来营销策略。通过对每次新媒体营销活动进行复盘，可以深入分析活动的成功之处和不足之处。成功的经验可以作为后续活动的参考和借鉴，不足之处则可以针对性地进行改进。</w:t>
      </w:r>
    </w:p>
    <w:p w14:paraId="00DE4B87">
      <w:pPr>
        <w:keepNext w:val="0"/>
        <w:keepLines w:val="0"/>
        <w:widowControl/>
        <w:suppressLineNumbers w:val="0"/>
        <w:jc w:val="left"/>
      </w:pPr>
      <w:r>
        <w:rPr>
          <w:rFonts w:ascii="宋体" w:hAnsi="宋体" w:eastAsia="宋体" w:cs="宋体"/>
          <w:kern w:val="0"/>
          <w:sz w:val="24"/>
          <w:szCs w:val="24"/>
          <w:lang w:val="en-US" w:eastAsia="zh-CN" w:bidi="ar"/>
        </w:rPr>
        <w:t>复盘过程中，可以从活动策划、执行、效果等多个环节进行分析。例如，检查活动策划是否符合目标用户的需求和兴趣，执行过程中是否存在沟通不畅、资源分配不合理等问题，效果评估是否准确全面等。同时，还可以与同行业的优秀案例进行对比分析，找出差距和改进方向。</w:t>
      </w:r>
    </w:p>
    <w:p w14:paraId="3E6E176F">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4.3.4 新媒体培训流程评估</w:t>
      </w:r>
    </w:p>
    <w:p w14:paraId="38481D4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传统行业新媒体培训流程评估的意义在于确保培训效果，提高员工的新媒体营销能力。评估可以从培训内容的实用性、培训方式的有效性、员工的参与度和学习成果等方面进行。</w:t>
      </w:r>
    </w:p>
    <w:p w14:paraId="77A88419">
      <w:pPr>
        <w:keepNext w:val="0"/>
        <w:keepLines w:val="0"/>
        <w:widowControl/>
        <w:suppressLineNumbers w:val="0"/>
        <w:jc w:val="left"/>
      </w:pPr>
      <w:r>
        <w:rPr>
          <w:rFonts w:ascii="宋体" w:hAnsi="宋体" w:eastAsia="宋体" w:cs="宋体"/>
          <w:kern w:val="0"/>
          <w:sz w:val="24"/>
          <w:szCs w:val="24"/>
          <w:lang w:val="en-US" w:eastAsia="zh-CN" w:bidi="ar"/>
        </w:rPr>
        <w:t>培训内容应紧密结合实际工作需求，涵盖新媒体平台操作技巧、内容创作方法、数据分析能力等方面。培训方式可以采用线上课程、线下讲座、实战演练等多种形式，以满足不同员工的学习习惯和需求。通过考核、作业、案例分析等方式评估员工的学习成果，及时发现问题并进行针对性的辅导和强化培训。</w:t>
      </w:r>
    </w:p>
    <w:p w14:paraId="14D6F382">
      <w:pPr>
        <w:keepNext w:val="0"/>
        <w:keepLines w:val="0"/>
        <w:widowControl/>
        <w:suppressLineNumbers w:val="0"/>
        <w:jc w:val="left"/>
      </w:pPr>
      <w:r>
        <w:rPr>
          <w:rFonts w:ascii="宋体" w:hAnsi="宋体" w:eastAsia="宋体" w:cs="宋体"/>
          <w:kern w:val="0"/>
          <w:sz w:val="24"/>
          <w:szCs w:val="24"/>
          <w:lang w:val="en-US" w:eastAsia="zh-CN" w:bidi="ar"/>
        </w:rPr>
        <w:t>总之，传统行业建立新媒体评估体系是实现新媒体营销可持续发展的重要保障。通过对目标、运营流程、复盘流程和培训流程的全面评估，可以不断提升新媒体营销的效果和竞争力。</w:t>
      </w:r>
    </w:p>
    <w:p w14:paraId="237A2AEC">
      <w:pPr>
        <w:pageBreakBefore w:val="0"/>
        <w:numPr>
          <w:ilvl w:val="0"/>
          <w:numId w:val="0"/>
        </w:numPr>
        <w:kinsoku/>
        <w:wordWrap/>
        <w:overflowPunct/>
        <w:topLinePunct w:val="0"/>
        <w:autoSpaceDE/>
        <w:autoSpaceDN/>
        <w:bidi w:val="0"/>
        <w:snapToGrid/>
        <w:spacing w:line="360" w:lineRule="auto"/>
        <w:textAlignment w:val="auto"/>
        <w:rPr>
          <w:rFonts w:hint="eastAsia" w:ascii="黑体" w:hAnsi="黑体" w:eastAsia="黑体" w:cs="Times New Roman"/>
          <w:b w:val="0"/>
          <w:bCs w:val="0"/>
          <w:sz w:val="32"/>
          <w:szCs w:val="32"/>
          <w:lang w:val="en-US" w:eastAsia="zh-CN"/>
        </w:rPr>
      </w:pPr>
      <w:r>
        <w:rPr>
          <w:rFonts w:hint="eastAsia" w:ascii="黑体" w:hAnsi="黑体" w:eastAsia="黑体" w:cs="Times New Roman"/>
          <w:b w:val="0"/>
          <w:bCs w:val="0"/>
          <w:sz w:val="32"/>
          <w:szCs w:val="32"/>
          <w:lang w:val="en-US" w:eastAsia="zh-CN"/>
        </w:rPr>
        <w:t>5、新媒体赋能传统行业营销策略的总结与展望</w:t>
      </w:r>
    </w:p>
    <w:p w14:paraId="023E959D">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5.1.1总结研究成果</w:t>
      </w:r>
    </w:p>
    <w:p w14:paraId="3BD13386">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本文深入探讨了新媒体驱动传统行业营销的问题及策略，得出以下主要结论。</w:t>
      </w:r>
    </w:p>
    <w:p w14:paraId="649424C4">
      <w:pPr>
        <w:keepNext w:val="0"/>
        <w:keepLines w:val="0"/>
        <w:widowControl/>
        <w:suppressLineNumbers w:val="0"/>
        <w:jc w:val="left"/>
      </w:pPr>
      <w:r>
        <w:rPr>
          <w:rFonts w:ascii="宋体" w:hAnsi="宋体" w:eastAsia="宋体" w:cs="宋体"/>
          <w:kern w:val="0"/>
          <w:sz w:val="24"/>
          <w:szCs w:val="24"/>
          <w:lang w:val="en-US" w:eastAsia="zh-CN" w:bidi="ar"/>
        </w:rPr>
        <w:t>首先，新媒体在驱动传统行业营销方面具有重要性。它加强了市场覆盖，提升了与消费者的互动性，提高了传播效率，塑造了品牌形象。同时，新媒体推动传统企业在新世纪营销中持续发展，能够精准定位目标客户、降低营销成本、掌握主流营销工具。</w:t>
      </w:r>
    </w:p>
    <w:p w14:paraId="3888FAB4">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其次，新媒体赋能传统行业具有特性化和专业化的特点。特性化方面，新媒体具有实时性与即时性、互动性与参与性、个性化与定制化的特点，为传统行业营销带来了新的机遇。专业化方面，新媒体以数据驱动为传统行业营销提供决策依据，通过多渠道整合扩大品牌影响力，还为传统行业带来全球化视野。此外，传统行业适应新媒体变化的能力也至关重要，需要对新媒体行业趋势和技术发展保持敏感度，加强与外界沟通和协作。</w:t>
      </w:r>
    </w:p>
    <w:p w14:paraId="29EA9714">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然而，新纪元下新媒体驱动传统行业营销也面临着一些问题。专业人才匮乏，包括缺少复合型人才、市场人才缺口大、新媒体知识更新迭代速度过快、新媒体行业工资薪酬绩效标准差距较大。观念转变困难，传统行业对新媒体营销认识不足、新媒体团队协作门槛过高不好管理、传统企业思想固化不善于调整营销策略。融合程度不高，传统行业与新媒体营销结合不够紧密、缺乏内循环的人才培养思维、缺乏新营销工具的使用及新行业洞察力。效果评估困难，难以准确衡量新媒体营销对传统行业的实际效果。</w:t>
      </w:r>
    </w:p>
    <w:p w14:paraId="21389CA8">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针对这些问题，本文提出了相应的营销策略。加强人才培养与引进，包括专业技能培养、创意思维培养、打造专业新媒体营销团队、提高数据分析能力、引进新媒体行业精英。更新营销观念，建立以客户为中心的营销观念、积极拥抱新媒体的营销思维、掌握新媒体全平台的运营流程。建立新媒体评估体系，包括目标评估、运营流程评估、复盘流程评估、培训流程评估。</w:t>
      </w:r>
    </w:p>
    <w:p w14:paraId="32B4235D">
      <w:pPr>
        <w:keepNext w:val="0"/>
        <w:keepLines w:val="0"/>
        <w:widowControl/>
        <w:suppressLineNumbers w:val="0"/>
        <w:jc w:val="left"/>
      </w:pPr>
      <w:r>
        <w:rPr>
          <w:rFonts w:ascii="宋体" w:hAnsi="宋体" w:eastAsia="宋体" w:cs="宋体"/>
          <w:kern w:val="0"/>
          <w:sz w:val="24"/>
          <w:szCs w:val="24"/>
          <w:lang w:val="en-US" w:eastAsia="zh-CN" w:bidi="ar"/>
        </w:rPr>
        <w:t>总之，新媒体为传统行业营销带来了机遇和挑战，传统行业应积极应对，充分利用新媒体的优势，不断创新营销策略，提升自身竞争力，实现可持续发展。</w:t>
      </w:r>
    </w:p>
    <w:p w14:paraId="54EADD7F">
      <w:pPr>
        <w:pageBreakBefore w:val="0"/>
        <w:numPr>
          <w:ilvl w:val="0"/>
          <w:numId w:val="0"/>
        </w:numPr>
        <w:kinsoku/>
        <w:wordWrap/>
        <w:overflowPunct/>
        <w:topLinePunct w:val="0"/>
        <w:autoSpaceDE/>
        <w:autoSpaceDN/>
        <w:bidi w:val="0"/>
        <w:snapToGrid/>
        <w:spacing w:line="360" w:lineRule="auto"/>
        <w:textAlignment w:val="auto"/>
        <w:rPr>
          <w:rFonts w:hint="eastAsia" w:ascii="Times New Roman" w:hAnsi="Times New Roman" w:eastAsia="宋体" w:cs="Times New Roman"/>
          <w:color w:val="auto"/>
          <w:sz w:val="24"/>
          <w:szCs w:val="24"/>
          <w:lang w:val="en-US" w:eastAsia="zh-CN"/>
        </w:rPr>
      </w:pPr>
      <w:r>
        <w:rPr>
          <w:rFonts w:hint="eastAsia" w:ascii="黑体" w:hAnsi="黑体" w:eastAsia="黑体" w:cs="Times New Roman"/>
          <w:b w:val="0"/>
          <w:bCs w:val="0"/>
          <w:sz w:val="32"/>
          <w:szCs w:val="32"/>
          <w:lang w:val="en-US" w:eastAsia="zh-CN"/>
        </w:rPr>
        <w:t>5.1.2对未来的展望</w:t>
      </w:r>
    </w:p>
    <w:p w14:paraId="4A82AF86">
      <w:pPr>
        <w:keepNext w:val="0"/>
        <w:keepLines w:val="0"/>
        <w:widowControl/>
        <w:suppressLineNumbers w:val="0"/>
        <w:ind w:firstLine="420" w:firstLineChars="0"/>
        <w:jc w:val="left"/>
      </w:pPr>
      <w:r>
        <w:rPr>
          <w:rFonts w:ascii="宋体" w:hAnsi="宋体" w:eastAsia="宋体" w:cs="宋体"/>
          <w:kern w:val="0"/>
          <w:sz w:val="24"/>
          <w:szCs w:val="24"/>
          <w:lang w:val="en-US" w:eastAsia="zh-CN" w:bidi="ar"/>
        </w:rPr>
        <w:t>在新媒体驱动传统行业营销的领域，未来还有许多值得深入研究的方向。</w:t>
      </w:r>
    </w:p>
    <w:p w14:paraId="5E12A972">
      <w:pPr>
        <w:keepNext w:val="0"/>
        <w:keepLines w:val="0"/>
        <w:widowControl/>
        <w:suppressLineNumbers w:val="0"/>
        <w:jc w:val="left"/>
      </w:pPr>
      <w:r>
        <w:rPr>
          <w:rFonts w:ascii="宋体" w:hAnsi="宋体" w:eastAsia="宋体" w:cs="宋体"/>
          <w:kern w:val="0"/>
          <w:sz w:val="24"/>
          <w:szCs w:val="24"/>
          <w:lang w:val="en-US" w:eastAsia="zh-CN" w:bidi="ar"/>
        </w:rPr>
        <w:t>首先，随着技术的不断进步，人工智能、大数据、虚拟现实等新兴技术在新媒体营销中的应用将更加广泛和深入。未来的研究可以聚焦于如何更好地利用这些技术，为传统行业提供更加精准、个性化的营销服务。例如，通过人工智能算法实现更加智能的客户画像和需求预测，利用虚拟现实技术打造沉浸式的购物体验等。</w:t>
      </w:r>
    </w:p>
    <w:p w14:paraId="71A9B3E6">
      <w:pPr>
        <w:keepNext w:val="0"/>
        <w:keepLines w:val="0"/>
        <w:widowControl/>
        <w:suppressLineNumbers w:val="0"/>
        <w:jc w:val="left"/>
      </w:pPr>
      <w:r>
        <w:rPr>
          <w:rFonts w:ascii="宋体" w:hAnsi="宋体" w:eastAsia="宋体" w:cs="宋体"/>
          <w:kern w:val="0"/>
          <w:sz w:val="24"/>
          <w:szCs w:val="24"/>
          <w:lang w:val="en-US" w:eastAsia="zh-CN" w:bidi="ar"/>
        </w:rPr>
        <w:t>其次，社交媒体平台的不断涌现和发展也为传统行业营销带来了新的机遇和挑战。未来的研究可以关注不同社交媒体平台的特点和用户行为，探索如何在不同平台上制定更加有效的营销策略。同时，研究如何整合多个社交媒体平台，实现跨平台的营销协同效应，也是一个重要的研究方向。</w:t>
      </w:r>
    </w:p>
    <w:p w14:paraId="54AFFA15">
      <w:pPr>
        <w:keepNext w:val="0"/>
        <w:keepLines w:val="0"/>
        <w:widowControl/>
        <w:suppressLineNumbers w:val="0"/>
        <w:jc w:val="left"/>
      </w:pPr>
      <w:r>
        <w:rPr>
          <w:rFonts w:ascii="宋体" w:hAnsi="宋体" w:eastAsia="宋体" w:cs="宋体"/>
          <w:kern w:val="0"/>
          <w:sz w:val="24"/>
          <w:szCs w:val="24"/>
          <w:lang w:val="en-US" w:eastAsia="zh-CN" w:bidi="ar"/>
        </w:rPr>
        <w:t>再者，内容营销在新媒体时代的重要性日益凸显。未来的研究可以深入探讨如何创造更有价值、更具吸引力的内容，以满足消费者的需求和期望。此外，研究如何通过内容营销建立品牌与消费者之间的情感连接，提高品牌忠诚度，也是一个值得关注的方向。</w:t>
      </w:r>
    </w:p>
    <w:p w14:paraId="314B8D57">
      <w:pPr>
        <w:keepNext w:val="0"/>
        <w:keepLines w:val="0"/>
        <w:widowControl/>
        <w:suppressLineNumbers w:val="0"/>
        <w:jc w:val="left"/>
      </w:pPr>
      <w:r>
        <w:rPr>
          <w:rFonts w:ascii="宋体" w:hAnsi="宋体" w:eastAsia="宋体" w:cs="宋体"/>
          <w:kern w:val="0"/>
          <w:sz w:val="24"/>
          <w:szCs w:val="24"/>
          <w:lang w:val="en-US" w:eastAsia="zh-CN" w:bidi="ar"/>
        </w:rPr>
        <w:t>另外，随着消费者对环保和社会责任的关注度不断提高，绿色营销和可持续发展将成为未来新媒体营销的重要趋势。未来的研究可以探讨传统行业如何在新媒体营销中融入绿色营销理念，实现经济效益和社会效益的双赢。</w:t>
      </w:r>
    </w:p>
    <w:p w14:paraId="7F10DC74">
      <w:pPr>
        <w:keepNext w:val="0"/>
        <w:keepLines w:val="0"/>
        <w:widowControl/>
        <w:suppressLineNumbers w:val="0"/>
        <w:jc w:val="left"/>
      </w:pPr>
      <w:r>
        <w:rPr>
          <w:rFonts w:ascii="宋体" w:hAnsi="宋体" w:eastAsia="宋体" w:cs="宋体"/>
          <w:kern w:val="0"/>
          <w:sz w:val="24"/>
          <w:szCs w:val="24"/>
          <w:lang w:val="en-US" w:eastAsia="zh-CN" w:bidi="ar"/>
        </w:rPr>
        <w:t>最后，人才培养仍然是新媒体驱动传统行业营销的关键。未来的研究可以关注如何培养更多既懂传统行业业务又精通新媒体营销的复合型人才，以及如何建立更加有效的人才激励机制，吸引和留住优秀的新媒体营销人才。</w:t>
      </w:r>
    </w:p>
    <w:p w14:paraId="48B088D2">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总之，新媒体驱动传统行业营销是一个充满机遇和挑战的领域，未来的研究需要不断创新和探索，为传统行业在新媒体时代的发展提供更加有力的理论支持和实践指导。</w:t>
      </w:r>
    </w:p>
    <w:p w14:paraId="66436B6D">
      <w:pPr>
        <w:keepNext w:val="0"/>
        <w:keepLines w:val="0"/>
        <w:widowControl/>
        <w:suppressLineNumbers w:val="0"/>
        <w:jc w:val="left"/>
        <w:rPr>
          <w:rFonts w:ascii="宋体" w:hAnsi="宋体" w:eastAsia="宋体" w:cs="宋体"/>
          <w:kern w:val="0"/>
          <w:sz w:val="24"/>
          <w:szCs w:val="24"/>
          <w:lang w:val="en-US" w:eastAsia="zh-CN" w:bidi="ar"/>
        </w:rPr>
      </w:pPr>
    </w:p>
    <w:p w14:paraId="57CBD046">
      <w:pPr>
        <w:widowControl/>
        <w:spacing w:line="360" w:lineRule="auto"/>
        <w:jc w:val="center"/>
        <w:outlineLvl w:val="0"/>
        <w:rPr>
          <w:rFonts w:hint="eastAsia" w:ascii="黑体" w:hAnsi="Times New Roman" w:eastAsia="黑体" w:cs="Times New Roman"/>
          <w:kern w:val="0"/>
          <w:sz w:val="32"/>
          <w:szCs w:val="32"/>
          <w:lang w:val="en-US" w:eastAsia="zh-CN"/>
        </w:rPr>
      </w:pPr>
      <w:bookmarkStart w:id="6" w:name="_Toc2129"/>
      <w:r>
        <w:rPr>
          <w:rFonts w:hint="eastAsia" w:ascii="黑体" w:hAnsi="Times New Roman" w:eastAsia="黑体" w:cs="Times New Roman"/>
          <w:kern w:val="0"/>
          <w:sz w:val="32"/>
          <w:szCs w:val="32"/>
          <w:lang w:val="en-US" w:eastAsia="zh-CN"/>
        </w:rPr>
        <w:t>参考文献</w:t>
      </w:r>
      <w:bookmarkEnd w:id="6"/>
    </w:p>
    <w:p w14:paraId="6F021F68">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骏君.《颠覆与变革》[M].广东经济出版社,2016年10月.</w:t>
      </w:r>
    </w:p>
    <w:p w14:paraId="6DBC5435">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加里•维纳查克.《新媒体营销圣经》[M]. 北京联合出版公司,2016年6月.</w:t>
      </w:r>
    </w:p>
    <w:p w14:paraId="75012A13">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rPr>
        <w:t>]</w:t>
      </w:r>
      <w:r>
        <w:rPr>
          <w:rFonts w:hint="eastAsia" w:ascii="宋体" w:hAnsi="宋体" w:eastAsia="宋体" w:cs="宋体"/>
          <w:color w:val="000000"/>
          <w:sz w:val="24"/>
          <w:lang w:val="en-US" w:eastAsia="zh-CN"/>
        </w:rPr>
        <w:t>熊猫鲸.《 疯传：新媒体软文营销72法则》[M]. 中国铁道出版社,2017年8月.</w:t>
      </w:r>
    </w:p>
    <w:p w14:paraId="6E94994E">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王转建</w:t>
      </w:r>
      <w:r>
        <w:rPr>
          <w:rFonts w:hint="eastAsia" w:ascii="宋体" w:hAnsi="宋体" w:eastAsia="宋体" w:cs="宋体"/>
          <w:color w:val="000000"/>
          <w:sz w:val="24"/>
        </w:rPr>
        <w:t>."互联网+"视域下人力资源管理的新趋势及对策分析[</w:t>
      </w:r>
      <w:r>
        <w:rPr>
          <w:rFonts w:hint="eastAsia" w:ascii="宋体" w:hAnsi="宋体" w:eastAsia="宋体" w:cs="宋体"/>
          <w:color w:val="000000"/>
          <w:sz w:val="24"/>
          <w:lang w:val="en-US" w:eastAsia="zh-CN"/>
        </w:rPr>
        <w:t>M</w:t>
      </w:r>
      <w:r>
        <w:rPr>
          <w:rFonts w:hint="eastAsia" w:ascii="宋体" w:hAnsi="宋体" w:eastAsia="宋体" w:cs="宋体"/>
          <w:color w:val="000000"/>
          <w:sz w:val="24"/>
        </w:rPr>
        <w:t>].</w:t>
      </w:r>
      <w:r>
        <w:rPr>
          <w:rFonts w:hint="eastAsia" w:ascii="宋体" w:hAnsi="宋体" w:eastAsia="宋体" w:cs="宋体"/>
          <w:color w:val="000000"/>
          <w:sz w:val="24"/>
          <w:lang w:val="en-US" w:eastAsia="zh-CN"/>
        </w:rPr>
        <w:t>掌桥科研</w:t>
      </w:r>
      <w:r>
        <w:rPr>
          <w:rFonts w:hint="eastAsia" w:ascii="宋体" w:hAnsi="宋体" w:eastAsia="宋体" w:cs="宋体"/>
          <w:color w:val="000000"/>
          <w:sz w:val="24"/>
        </w:rPr>
        <w:t>.201</w:t>
      </w:r>
      <w:r>
        <w:rPr>
          <w:rFonts w:hint="eastAsia" w:ascii="宋体" w:hAnsi="宋体" w:eastAsia="宋体" w:cs="宋体"/>
          <w:color w:val="000000"/>
          <w:sz w:val="24"/>
          <w:lang w:val="en-US" w:eastAsia="zh-CN"/>
        </w:rPr>
        <w:t>7</w:t>
      </w:r>
      <w:r>
        <w:rPr>
          <w:rFonts w:hint="eastAsia" w:ascii="宋体" w:hAnsi="宋体" w:eastAsia="宋体" w:cs="宋体"/>
          <w:color w:val="000000"/>
          <w:sz w:val="24"/>
        </w:rPr>
        <w:t>年</w:t>
      </w:r>
      <w:r>
        <w:rPr>
          <w:rFonts w:hint="eastAsia" w:ascii="宋体" w:hAnsi="宋体" w:eastAsia="宋体" w:cs="宋体"/>
          <w:color w:val="000000"/>
          <w:sz w:val="24"/>
          <w:lang w:val="en-US" w:eastAsia="zh-CN"/>
        </w:rPr>
        <w:t>.</w:t>
      </w:r>
    </w:p>
    <w:p w14:paraId="074B9A99">
      <w:pPr>
        <w:pageBreakBefore w:val="0"/>
        <w:kinsoku/>
        <w:wordWrap/>
        <w:overflowPunct/>
        <w:topLinePunct w:val="0"/>
        <w:autoSpaceDE/>
        <w:autoSpaceDN/>
        <w:bidi w:val="0"/>
        <w:spacing w:line="360" w:lineRule="auto"/>
        <w:jc w:val="left"/>
        <w:rPr>
          <w:rFonts w:hint="default"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5</w:t>
      </w:r>
      <w:r>
        <w:rPr>
          <w:rFonts w:hint="eastAsia" w:ascii="宋体" w:hAnsi="宋体" w:eastAsia="宋体" w:cs="宋体"/>
          <w:color w:val="000000"/>
          <w:sz w:val="24"/>
        </w:rPr>
        <w:t>]</w:t>
      </w:r>
      <w:r>
        <w:rPr>
          <w:rFonts w:hint="eastAsia" w:ascii="宋体" w:hAnsi="宋体" w:eastAsia="宋体" w:cs="宋体"/>
          <w:color w:val="000000"/>
          <w:sz w:val="24"/>
          <w:lang w:val="en-US" w:eastAsia="zh-CN"/>
        </w:rPr>
        <w:t>（荷）威廉姆・伯格斯.《 细节营销》[M]. 华夏出版社,2004年6月</w:t>
      </w:r>
      <w:r>
        <w:rPr>
          <w:rFonts w:hint="eastAsia" w:ascii="宋体" w:hAnsi="宋体" w:cs="宋体"/>
          <w:color w:val="000000"/>
          <w:sz w:val="24"/>
          <w:lang w:val="en-US" w:eastAsia="zh-CN"/>
        </w:rPr>
        <w:t>.</w:t>
      </w:r>
    </w:p>
    <w:p w14:paraId="0555C173">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[6]张宇.《新媒体对市场营销策略的影响及应对策略》[J].《新闻研究导刊》. 2023 年 5 月.</w:t>
      </w:r>
    </w:p>
    <w:p w14:paraId="078D182A">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[7]孙小凡.《新媒体营销的创新模式与实践案例分析》[J].《成功营销》 2023 年 9 月.</w:t>
      </w:r>
    </w:p>
    <w:p w14:paraId="2A4E3986">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[8]李静.《新媒体环境下广告营销策略的转变与创新》[J].《广告大观（理论版）》. 2022 年 12 月.</w:t>
      </w:r>
    </w:p>
    <w:p w14:paraId="4199E8AA">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[9]</w:t>
      </w:r>
      <w:r>
        <w:rPr>
          <w:rFonts w:hint="default" w:ascii="宋体" w:hAnsi="宋体" w:eastAsia="宋体" w:cs="宋体"/>
          <w:color w:val="000000"/>
          <w:kern w:val="2"/>
          <w:sz w:val="24"/>
          <w:szCs w:val="24"/>
          <w:lang w:val="en-US" w:eastAsia="zh-CN" w:bidi="ar-SA"/>
        </w:rPr>
        <w:t>王惠敏.《新媒体环境下企业品牌管理的市场营销策略分析</w:t>
      </w:r>
    </w:p>
    <w:p w14:paraId="0C999526">
      <w:pPr>
        <w:pStyle w:val="5"/>
        <w:keepNext w:val="0"/>
        <w:keepLines w:val="0"/>
        <w:pageBreakBefore w:val="0"/>
        <w:widowControl w:val="0"/>
        <w:tabs>
          <w:tab w:val="left" w:pos="5832"/>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color w:val="000000"/>
          <w:kern w:val="2"/>
          <w:sz w:val="24"/>
          <w:szCs w:val="24"/>
          <w:lang w:val="en-US" w:eastAsia="zh-CN" w:bidi="ar-SA"/>
        </w:rPr>
      </w:pPr>
      <w:r>
        <w:rPr>
          <w:rFonts w:hint="default" w:ascii="宋体" w:hAnsi="宋体" w:eastAsia="宋体" w:cs="宋体"/>
          <w:color w:val="000000"/>
          <w:kern w:val="2"/>
          <w:sz w:val="24"/>
          <w:szCs w:val="24"/>
          <w:lang w:val="en-US" w:eastAsia="zh-CN" w:bidi="ar-SA"/>
        </w:rPr>
        <w:t>》[C].《996 论文网》. 2023 年 2 月</w:t>
      </w:r>
      <w:r>
        <w:rPr>
          <w:rFonts w:hint="eastAsia" w:ascii="宋体" w:hAnsi="宋体" w:eastAsia="宋体" w:cs="宋体"/>
          <w:color w:val="000000"/>
          <w:kern w:val="2"/>
          <w:sz w:val="24"/>
          <w:szCs w:val="24"/>
          <w:lang w:val="en-US" w:eastAsia="zh-CN" w:bidi="ar-SA"/>
        </w:rPr>
        <w:t>.</w:t>
      </w:r>
      <w:bookmarkStart w:id="7" w:name="_GoBack"/>
      <w:bookmarkEnd w:id="7"/>
    </w:p>
    <w:p w14:paraId="7E933B13">
      <w:pPr>
        <w:pageBreakBefore w:val="0"/>
        <w:numPr>
          <w:ilvl w:val="0"/>
          <w:numId w:val="0"/>
        </w:numPr>
        <w:kinsoku/>
        <w:wordWrap/>
        <w:overflowPunct/>
        <w:topLinePunct w:val="0"/>
        <w:autoSpaceDE/>
        <w:autoSpaceDN/>
        <w:bidi w:val="0"/>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隶书">
    <w:panose1 w:val="0201050906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7B07E">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48914579"/>
                            <w:docPartObj>
                              <w:docPartGallery w:val="autotext"/>
                            </w:docPartObj>
                          </w:sdtPr>
                          <w:sdtContent>
                            <w:p w14:paraId="0ACF3EE7">
                              <w:pPr>
                                <w:pStyle w:val="7"/>
                                <w:jc w:val="center"/>
                              </w:pPr>
                              <w:r>
                                <w:fldChar w:fldCharType="begin"/>
                              </w:r>
                              <w:r>
                                <w:instrText xml:space="preserve">PAGE   \* MERGEFORMAT</w:instrText>
                              </w:r>
                              <w:r>
                                <w:fldChar w:fldCharType="separate"/>
                              </w:r>
                              <w:r>
                                <w:rPr>
                                  <w:lang w:val="zh-CN"/>
                                </w:rPr>
                                <w:t>41</w:t>
                              </w:r>
                              <w:r>
                                <w:fldChar w:fldCharType="end"/>
                              </w:r>
                            </w:p>
                          </w:sdtContent>
                        </w:sdt>
                        <w:p w14:paraId="7E2391B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048914579"/>
                      <w:docPartObj>
                        <w:docPartGallery w:val="autotext"/>
                      </w:docPartObj>
                    </w:sdtPr>
                    <w:sdtContent>
                      <w:p w14:paraId="0ACF3EE7">
                        <w:pPr>
                          <w:pStyle w:val="7"/>
                          <w:jc w:val="center"/>
                        </w:pPr>
                        <w:r>
                          <w:fldChar w:fldCharType="begin"/>
                        </w:r>
                        <w:r>
                          <w:instrText xml:space="preserve">PAGE   \* MERGEFORMAT</w:instrText>
                        </w:r>
                        <w:r>
                          <w:fldChar w:fldCharType="separate"/>
                        </w:r>
                        <w:r>
                          <w:rPr>
                            <w:lang w:val="zh-CN"/>
                          </w:rPr>
                          <w:t>41</w:t>
                        </w:r>
                        <w:r>
                          <w:fldChar w:fldCharType="end"/>
                        </w:r>
                      </w:p>
                    </w:sdtContent>
                  </w:sdt>
                  <w:p w14:paraId="7E2391B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2CA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5CE183"/>
    <w:multiLevelType w:val="singleLevel"/>
    <w:tmpl w:val="335CE183"/>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jNWMxZGI1ZGIyMzcwMjZhNGJmNDIxYTBjNjhiMzUifQ=="/>
  </w:docVars>
  <w:rsids>
    <w:rsidRoot w:val="00000000"/>
    <w:rsid w:val="00B55938"/>
    <w:rsid w:val="01F17E0E"/>
    <w:rsid w:val="03A04F32"/>
    <w:rsid w:val="03E80687"/>
    <w:rsid w:val="040203D2"/>
    <w:rsid w:val="042A5B37"/>
    <w:rsid w:val="043C0232"/>
    <w:rsid w:val="04FA732C"/>
    <w:rsid w:val="0673692E"/>
    <w:rsid w:val="06CF5AE5"/>
    <w:rsid w:val="06D17AED"/>
    <w:rsid w:val="071A5BCF"/>
    <w:rsid w:val="07AB3593"/>
    <w:rsid w:val="09101251"/>
    <w:rsid w:val="096B2EE6"/>
    <w:rsid w:val="0A5151D8"/>
    <w:rsid w:val="0A6D480D"/>
    <w:rsid w:val="0A8A0F6A"/>
    <w:rsid w:val="0B0C1ED8"/>
    <w:rsid w:val="0B9D4534"/>
    <w:rsid w:val="0BBC0D77"/>
    <w:rsid w:val="0E172295"/>
    <w:rsid w:val="0F6A2898"/>
    <w:rsid w:val="102F79BA"/>
    <w:rsid w:val="10B464C1"/>
    <w:rsid w:val="10DE79AF"/>
    <w:rsid w:val="111A416D"/>
    <w:rsid w:val="120E7E53"/>
    <w:rsid w:val="12D52DC3"/>
    <w:rsid w:val="137956F3"/>
    <w:rsid w:val="13A63EDF"/>
    <w:rsid w:val="1448681E"/>
    <w:rsid w:val="16B94831"/>
    <w:rsid w:val="179761F4"/>
    <w:rsid w:val="17AC7EF2"/>
    <w:rsid w:val="17EF570C"/>
    <w:rsid w:val="18AC7D06"/>
    <w:rsid w:val="192C5F0D"/>
    <w:rsid w:val="19841D9B"/>
    <w:rsid w:val="1AEB5497"/>
    <w:rsid w:val="1BEC2FB3"/>
    <w:rsid w:val="1C4300EF"/>
    <w:rsid w:val="1D8E3BF5"/>
    <w:rsid w:val="1E6257AE"/>
    <w:rsid w:val="20382140"/>
    <w:rsid w:val="20C91045"/>
    <w:rsid w:val="2147237E"/>
    <w:rsid w:val="22A53AB6"/>
    <w:rsid w:val="22F61F43"/>
    <w:rsid w:val="23E10EE3"/>
    <w:rsid w:val="24594F5D"/>
    <w:rsid w:val="24F9229C"/>
    <w:rsid w:val="253B0B07"/>
    <w:rsid w:val="257D111F"/>
    <w:rsid w:val="26275778"/>
    <w:rsid w:val="265D3823"/>
    <w:rsid w:val="26C16DEA"/>
    <w:rsid w:val="28DD72B3"/>
    <w:rsid w:val="29547F5C"/>
    <w:rsid w:val="295B1778"/>
    <w:rsid w:val="299A254E"/>
    <w:rsid w:val="2A6F342B"/>
    <w:rsid w:val="2AAD7DB1"/>
    <w:rsid w:val="2D710576"/>
    <w:rsid w:val="2DEC299E"/>
    <w:rsid w:val="2DEE5C64"/>
    <w:rsid w:val="2E3E0FF2"/>
    <w:rsid w:val="2E980D78"/>
    <w:rsid w:val="2F433B90"/>
    <w:rsid w:val="2F4E276F"/>
    <w:rsid w:val="2FC11C09"/>
    <w:rsid w:val="30AE3B50"/>
    <w:rsid w:val="30E90E44"/>
    <w:rsid w:val="3106021B"/>
    <w:rsid w:val="31C10964"/>
    <w:rsid w:val="31E42116"/>
    <w:rsid w:val="34A42225"/>
    <w:rsid w:val="35B41D8E"/>
    <w:rsid w:val="36BB1AA7"/>
    <w:rsid w:val="37C85329"/>
    <w:rsid w:val="386B545D"/>
    <w:rsid w:val="397877DC"/>
    <w:rsid w:val="397E5D2C"/>
    <w:rsid w:val="39A45CF9"/>
    <w:rsid w:val="3ADB0BB3"/>
    <w:rsid w:val="3B802070"/>
    <w:rsid w:val="3B8A0C0E"/>
    <w:rsid w:val="3BD50F16"/>
    <w:rsid w:val="3C8B7826"/>
    <w:rsid w:val="3CB66F99"/>
    <w:rsid w:val="3D231752"/>
    <w:rsid w:val="3D385C00"/>
    <w:rsid w:val="3D951F85"/>
    <w:rsid w:val="3DBD2583"/>
    <w:rsid w:val="3DF457EC"/>
    <w:rsid w:val="3EA31CEF"/>
    <w:rsid w:val="3F591A21"/>
    <w:rsid w:val="3FF9372A"/>
    <w:rsid w:val="40CA0BD2"/>
    <w:rsid w:val="413019CD"/>
    <w:rsid w:val="41635215"/>
    <w:rsid w:val="41D43A1D"/>
    <w:rsid w:val="42B9195D"/>
    <w:rsid w:val="431B5DA8"/>
    <w:rsid w:val="439E0D1B"/>
    <w:rsid w:val="440004EA"/>
    <w:rsid w:val="45774DEB"/>
    <w:rsid w:val="457C0654"/>
    <w:rsid w:val="45CA192E"/>
    <w:rsid w:val="46410013"/>
    <w:rsid w:val="471244AD"/>
    <w:rsid w:val="4770791F"/>
    <w:rsid w:val="47981329"/>
    <w:rsid w:val="495E6E2D"/>
    <w:rsid w:val="4AE4141D"/>
    <w:rsid w:val="4AFC64BF"/>
    <w:rsid w:val="4BF67976"/>
    <w:rsid w:val="4C9D46BB"/>
    <w:rsid w:val="4D037DDD"/>
    <w:rsid w:val="4DF56B82"/>
    <w:rsid w:val="4E567DE7"/>
    <w:rsid w:val="4F904ED6"/>
    <w:rsid w:val="4FA15887"/>
    <w:rsid w:val="50EB434C"/>
    <w:rsid w:val="510A7788"/>
    <w:rsid w:val="51EC090F"/>
    <w:rsid w:val="52742E1D"/>
    <w:rsid w:val="52D93C1E"/>
    <w:rsid w:val="54511BC0"/>
    <w:rsid w:val="555E7D76"/>
    <w:rsid w:val="556B22FC"/>
    <w:rsid w:val="557049FE"/>
    <w:rsid w:val="55756FAF"/>
    <w:rsid w:val="5583104B"/>
    <w:rsid w:val="59456704"/>
    <w:rsid w:val="5976568E"/>
    <w:rsid w:val="5B435A44"/>
    <w:rsid w:val="5B9444F1"/>
    <w:rsid w:val="5BD64B1D"/>
    <w:rsid w:val="5EB86749"/>
    <w:rsid w:val="5F2E07B9"/>
    <w:rsid w:val="5F6146EB"/>
    <w:rsid w:val="5FAC71B0"/>
    <w:rsid w:val="5FBE38EB"/>
    <w:rsid w:val="60021885"/>
    <w:rsid w:val="6084414C"/>
    <w:rsid w:val="608A76BC"/>
    <w:rsid w:val="618B3CA1"/>
    <w:rsid w:val="623107E9"/>
    <w:rsid w:val="63E94CAF"/>
    <w:rsid w:val="646A2293"/>
    <w:rsid w:val="65220C91"/>
    <w:rsid w:val="65B31A18"/>
    <w:rsid w:val="66B02D32"/>
    <w:rsid w:val="66FF18B7"/>
    <w:rsid w:val="67AE6CC9"/>
    <w:rsid w:val="67C176E8"/>
    <w:rsid w:val="69117181"/>
    <w:rsid w:val="6A1D1B56"/>
    <w:rsid w:val="6A742DCA"/>
    <w:rsid w:val="6A8F3EB3"/>
    <w:rsid w:val="6AAF6C52"/>
    <w:rsid w:val="6BBB1626"/>
    <w:rsid w:val="6C172E01"/>
    <w:rsid w:val="6C783974"/>
    <w:rsid w:val="6CB0280D"/>
    <w:rsid w:val="6D156F7D"/>
    <w:rsid w:val="6D4A5EE7"/>
    <w:rsid w:val="6D9F4929"/>
    <w:rsid w:val="7060279C"/>
    <w:rsid w:val="706B361B"/>
    <w:rsid w:val="713C3AD8"/>
    <w:rsid w:val="71681FF4"/>
    <w:rsid w:val="72021D5D"/>
    <w:rsid w:val="7304780E"/>
    <w:rsid w:val="73076EFF"/>
    <w:rsid w:val="734359DE"/>
    <w:rsid w:val="73E33B51"/>
    <w:rsid w:val="73ED4518"/>
    <w:rsid w:val="745B7482"/>
    <w:rsid w:val="74E33682"/>
    <w:rsid w:val="758D1F43"/>
    <w:rsid w:val="76452218"/>
    <w:rsid w:val="7AAA412F"/>
    <w:rsid w:val="7BD30E2C"/>
    <w:rsid w:val="7C323EBA"/>
    <w:rsid w:val="7C4F3DF1"/>
    <w:rsid w:val="7C7B4B9C"/>
    <w:rsid w:val="7DE368C8"/>
    <w:rsid w:val="7E6D4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8"/>
    <w:autoRedefine/>
    <w:qFormat/>
    <w:uiPriority w:val="0"/>
    <w:pPr>
      <w:keepNext/>
      <w:keepLines/>
      <w:spacing w:before="260" w:after="260" w:line="416" w:lineRule="auto"/>
      <w:outlineLvl w:val="2"/>
    </w:pPr>
    <w:rPr>
      <w:b/>
      <w:bCs/>
      <w:sz w:val="32"/>
      <w:szCs w:val="32"/>
    </w:rPr>
  </w:style>
  <w:style w:type="character" w:default="1" w:styleId="14">
    <w:name w:val="Default Paragraph Font"/>
    <w:autoRedefine/>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Indent"/>
    <w:basedOn w:val="1"/>
    <w:autoRedefine/>
    <w:qFormat/>
    <w:uiPriority w:val="0"/>
    <w:pPr>
      <w:ind w:firstLine="480" w:firstLineChars="200"/>
    </w:pPr>
    <w:rPr>
      <w:rFonts w:ascii="黑体" w:eastAsia="黑体"/>
      <w:sz w:val="24"/>
    </w:rPr>
  </w:style>
  <w:style w:type="paragraph" w:styleId="6">
    <w:name w:val="toc 3"/>
    <w:basedOn w:val="1"/>
    <w:next w:val="1"/>
    <w:autoRedefine/>
    <w:qFormat/>
    <w:uiPriority w:val="39"/>
    <w:pPr>
      <w:adjustRightInd w:val="0"/>
      <w:snapToGrid w:val="0"/>
      <w:spacing w:line="400" w:lineRule="exact"/>
      <w:ind w:left="840" w:leftChars="400" w:firstLine="200" w:firstLineChars="200"/>
    </w:pPr>
    <w:rPr>
      <w:sz w:val="24"/>
    </w:rPr>
  </w:style>
  <w:style w:type="paragraph" w:styleId="7">
    <w:name w:val="footer"/>
    <w:basedOn w:val="1"/>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toc 1"/>
    <w:basedOn w:val="1"/>
    <w:next w:val="1"/>
    <w:autoRedefine/>
    <w:qFormat/>
    <w:uiPriority w:val="39"/>
    <w:pPr>
      <w:tabs>
        <w:tab w:val="left" w:pos="1260"/>
        <w:tab w:val="right" w:leader="dot" w:pos="8494"/>
      </w:tabs>
      <w:adjustRightInd w:val="0"/>
      <w:snapToGrid w:val="0"/>
      <w:spacing w:line="360" w:lineRule="auto"/>
      <w:ind w:firstLine="480" w:firstLineChars="200"/>
    </w:pPr>
    <w:rPr>
      <w:rFonts w:ascii="黑体" w:hAnsi="黑体" w:eastAsia="黑体"/>
      <w:sz w:val="24"/>
    </w:rPr>
  </w:style>
  <w:style w:type="paragraph" w:styleId="10">
    <w:name w:val="footnote text"/>
    <w:basedOn w:val="1"/>
    <w:autoRedefine/>
    <w:qFormat/>
    <w:uiPriority w:val="0"/>
    <w:pPr>
      <w:snapToGrid w:val="0"/>
      <w:jc w:val="left"/>
    </w:pPr>
    <w:rPr>
      <w:sz w:val="18"/>
    </w:rPr>
  </w:style>
  <w:style w:type="paragraph" w:styleId="11">
    <w:name w:val="toc 2"/>
    <w:basedOn w:val="1"/>
    <w:next w:val="1"/>
    <w:autoRedefine/>
    <w:qFormat/>
    <w:uiPriority w:val="39"/>
    <w:pPr>
      <w:tabs>
        <w:tab w:val="right" w:leader="dot" w:pos="8494"/>
      </w:tabs>
      <w:adjustRightInd w:val="0"/>
      <w:snapToGrid w:val="0"/>
      <w:spacing w:before="480" w:after="480"/>
      <w:ind w:left="420" w:leftChars="200"/>
    </w:pPr>
    <w:rPr>
      <w:rFonts w:ascii="黑体" w:hAnsi="黑体" w:eastAsia="黑体"/>
      <w:sz w:val="24"/>
    </w:r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5">
    <w:name w:val="Strong"/>
    <w:basedOn w:val="14"/>
    <w:qFormat/>
    <w:uiPriority w:val="0"/>
    <w:rPr>
      <w:b/>
    </w:rPr>
  </w:style>
  <w:style w:type="character" w:styleId="16">
    <w:name w:val="Hyperlink"/>
    <w:autoRedefine/>
    <w:qFormat/>
    <w:uiPriority w:val="99"/>
    <w:rPr>
      <w:color w:val="0000FF"/>
      <w:u w:val="single"/>
    </w:rPr>
  </w:style>
  <w:style w:type="character" w:styleId="17">
    <w:name w:val="footnote reference"/>
    <w:basedOn w:val="14"/>
    <w:autoRedefine/>
    <w:qFormat/>
    <w:uiPriority w:val="0"/>
    <w:rPr>
      <w:vertAlign w:val="superscript"/>
    </w:rPr>
  </w:style>
  <w:style w:type="character" w:customStyle="1" w:styleId="18">
    <w:name w:val="封面1"/>
    <w:autoRedefine/>
    <w:qFormat/>
    <w:uiPriority w:val="0"/>
    <w:rPr>
      <w:rFonts w:ascii="Times New Roman" w:hAnsi="Times New Roman" w:eastAsia="楷体_GB2312"/>
      <w:spacing w:val="60"/>
      <w:kern w:val="84"/>
      <w:sz w:val="84"/>
    </w:rPr>
  </w:style>
  <w:style w:type="character" w:customStyle="1" w:styleId="19">
    <w:name w:val="封面2"/>
    <w:autoRedefine/>
    <w:qFormat/>
    <w:uiPriority w:val="0"/>
    <w:rPr>
      <w:b/>
      <w:spacing w:val="60"/>
      <w:sz w:val="44"/>
    </w:rPr>
  </w:style>
  <w:style w:type="character" w:customStyle="1" w:styleId="20">
    <w:name w:val="封面-论文英文题目"/>
    <w:autoRedefine/>
    <w:qFormat/>
    <w:uiPriority w:val="0"/>
    <w:rPr>
      <w:rFonts w:ascii="Times New Roman" w:hAnsi="Times New Roman" w:eastAsia="宋体"/>
      <w:sz w:val="36"/>
    </w:rPr>
  </w:style>
  <w:style w:type="paragraph" w:customStyle="1" w:styleId="21">
    <w:name w:val="标题名（不入目录）"/>
    <w:basedOn w:val="1"/>
    <w:autoRedefine/>
    <w:qFormat/>
    <w:uiPriority w:val="0"/>
    <w:pPr>
      <w:adjustRightInd w:val="0"/>
      <w:snapToGrid w:val="0"/>
      <w:spacing w:before="480" w:after="360"/>
      <w:jc w:val="center"/>
    </w:pPr>
    <w:rPr>
      <w:rFonts w:eastAsia="黑体"/>
      <w:kern w:val="0"/>
      <w:sz w:val="32"/>
    </w:rPr>
  </w:style>
  <w:style w:type="paragraph" w:customStyle="1" w:styleId="22">
    <w:name w:val="标题名"/>
    <w:basedOn w:val="1"/>
    <w:autoRedefine/>
    <w:qFormat/>
    <w:uiPriority w:val="0"/>
    <w:pPr>
      <w:adjustRightInd w:val="0"/>
      <w:snapToGrid w:val="0"/>
      <w:spacing w:before="480" w:after="360"/>
      <w:jc w:val="center"/>
      <w:outlineLvl w:val="0"/>
    </w:pPr>
    <w:rPr>
      <w:rFonts w:eastAsia="黑体"/>
      <w:sz w:val="32"/>
    </w:rPr>
  </w:style>
  <w:style w:type="paragraph" w:customStyle="1" w:styleId="23">
    <w:name w:val="正文（结尾部分）"/>
    <w:basedOn w:val="1"/>
    <w:autoRedefine/>
    <w:qFormat/>
    <w:uiPriority w:val="0"/>
    <w:pPr>
      <w:adjustRightInd w:val="0"/>
      <w:snapToGrid w:val="0"/>
      <w:spacing w:line="320" w:lineRule="exact"/>
      <w:ind w:firstLine="200" w:firstLineChars="200"/>
    </w:pPr>
  </w:style>
  <w:style w:type="paragraph" w:customStyle="1" w:styleId="24">
    <w:name w:val="WPSOffice手动目录 1"/>
    <w:autoRedefine/>
    <w:qFormat/>
    <w:uiPriority w:val="0"/>
    <w:pPr>
      <w:ind w:leftChars="0"/>
    </w:pPr>
    <w:rPr>
      <w:rFonts w:ascii="Times New Roman" w:hAnsi="Times New Roman" w:eastAsia="宋体" w:cs="Times New Roman"/>
      <w:sz w:val="20"/>
      <w:szCs w:val="20"/>
    </w:rPr>
  </w:style>
  <w:style w:type="paragraph" w:customStyle="1" w:styleId="25">
    <w:name w:val="WPSOffice手动目录 2"/>
    <w:autoRedefine/>
    <w:qFormat/>
    <w:uiPriority w:val="0"/>
    <w:pPr>
      <w:ind w:leftChars="200"/>
    </w:pPr>
    <w:rPr>
      <w:rFonts w:ascii="Times New Roman" w:hAnsi="Times New Roman" w:eastAsia="宋体" w:cs="Times New Roman"/>
      <w:sz w:val="20"/>
      <w:szCs w:val="20"/>
    </w:rPr>
  </w:style>
  <w:style w:type="character" w:customStyle="1" w:styleId="26">
    <w:name w:val="hover"/>
    <w:basedOn w:val="14"/>
    <w:autoRedefine/>
    <w:qFormat/>
    <w:uiPriority w:val="0"/>
    <w:rPr>
      <w:color w:val="FF7B00"/>
    </w:rPr>
  </w:style>
  <w:style w:type="paragraph" w:customStyle="1" w:styleId="27">
    <w:name w:val="英文摘要正文"/>
    <w:basedOn w:val="1"/>
    <w:autoRedefine/>
    <w:qFormat/>
    <w:uiPriority w:val="0"/>
    <w:pPr>
      <w:widowControl w:val="0"/>
      <w:wordWrap w:val="0"/>
      <w:snapToGrid w:val="0"/>
      <w:spacing w:line="400" w:lineRule="exact"/>
      <w:ind w:firstLine="200" w:firstLineChars="200"/>
      <w:jc w:val="both"/>
    </w:pPr>
    <w:rPr>
      <w:rFonts w:eastAsia="Times New Roman"/>
      <w:kern w:val="2"/>
      <w:sz w:val="24"/>
      <w:szCs w:val="24"/>
    </w:rPr>
  </w:style>
  <w:style w:type="character" w:customStyle="1" w:styleId="28">
    <w:name w:val="标题 3 Char"/>
    <w:link w:val="4"/>
    <w:autoRedefine/>
    <w:qFormat/>
    <w:uiPriority w:val="0"/>
    <w:rPr>
      <w:b/>
      <w:bCs/>
      <w:sz w:val="32"/>
      <w:szCs w:val="32"/>
    </w:rPr>
  </w:style>
  <w:style w:type="paragraph" w:customStyle="1" w:styleId="29">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2058</Words>
  <Characters>4574</Characters>
  <Lines>0</Lines>
  <Paragraphs>0</Paragraphs>
  <TotalTime>1</TotalTime>
  <ScaleCrop>false</ScaleCrop>
  <LinksUpToDate>false</LinksUpToDate>
  <CharactersWithSpaces>5363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2021-09-10T04:42:00Z</dcterms:created>
  <dc:creator>86134</dc:creator>
  <cp:lastModifiedBy>黄建伟</cp:lastModifiedBy>
  <dcterms:modified xsi:type="dcterms:W3CDTF">2024-11-11T06:59:41Z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15CE10A0C1F042269F7B5DB746C11669_13</vt:lpwstr>
  </property>
</Properties>
</file>